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DD61" w14:textId="77777777" w:rsidR="0070363A" w:rsidRPr="00600EFF" w:rsidRDefault="0070363A" w:rsidP="0070363A">
      <w:pPr>
        <w:spacing w:line="360" w:lineRule="auto"/>
        <w:rPr>
          <w:rFonts w:cstheme="minorHAnsi"/>
          <w:b/>
          <w:bCs/>
        </w:rPr>
      </w:pPr>
    </w:p>
    <w:p w14:paraId="5999BB36" w14:textId="39F33603" w:rsidR="0070363A" w:rsidRPr="00600EFF" w:rsidRDefault="0070363A" w:rsidP="0070363A">
      <w:pPr>
        <w:spacing w:line="480" w:lineRule="auto"/>
        <w:jc w:val="center"/>
        <w:rPr>
          <w:rFonts w:cstheme="minorHAnsi"/>
          <w:b/>
          <w:bCs/>
        </w:rPr>
      </w:pPr>
      <w:r w:rsidRPr="00600EFF">
        <w:rPr>
          <w:rFonts w:cstheme="minorHAnsi"/>
          <w:b/>
          <w:bCs/>
        </w:rPr>
        <w:t>PROCEDURA PRZYJMOWANIA ZGŁOSZEŃ WEWNĘTRZNYCH</w:t>
      </w:r>
      <w:r w:rsidRPr="00600EFF">
        <w:rPr>
          <w:rFonts w:cstheme="minorHAnsi"/>
          <w:b/>
          <w:bCs/>
        </w:rPr>
        <w:br/>
        <w:t xml:space="preserve">ORAZ PODEJMOWANIA DZIAŁAŃ NASTĘPCZYCH W </w:t>
      </w:r>
      <w:r w:rsidRPr="00600EFF">
        <w:rPr>
          <w:rFonts w:cstheme="minorHAnsi"/>
          <w:b/>
          <w:bCs/>
        </w:rPr>
        <w:br/>
        <w:t xml:space="preserve">FINEJAS POLAND </w:t>
      </w:r>
      <w:r w:rsidR="006D4148">
        <w:rPr>
          <w:rFonts w:cstheme="minorHAnsi"/>
          <w:b/>
          <w:bCs/>
        </w:rPr>
        <w:t>WE WROCŁAWIU</w:t>
      </w:r>
    </w:p>
    <w:p w14:paraId="79AFF2E3" w14:textId="77777777" w:rsidR="0070363A" w:rsidRPr="00600EFF" w:rsidRDefault="0070363A" w:rsidP="0070363A">
      <w:pPr>
        <w:spacing w:line="360" w:lineRule="auto"/>
        <w:ind w:left="567"/>
        <w:jc w:val="center"/>
        <w:rPr>
          <w:rFonts w:cstheme="minorHAnsi"/>
          <w:b/>
          <w:bCs/>
        </w:rPr>
      </w:pPr>
      <w:r w:rsidRPr="00600EFF">
        <w:rPr>
          <w:rFonts w:cstheme="minorHAnsi"/>
          <w:b/>
          <w:bCs/>
        </w:rPr>
        <w:t>§ 1. POSTANOWIENIA OGÓLNE</w:t>
      </w:r>
    </w:p>
    <w:p w14:paraId="6E05DA5C" w14:textId="77777777" w:rsidR="0070363A" w:rsidRPr="00600EFF" w:rsidRDefault="0070363A" w:rsidP="0070363A">
      <w:pPr>
        <w:pStyle w:val="ListParagraph"/>
        <w:numPr>
          <w:ilvl w:val="0"/>
          <w:numId w:val="38"/>
        </w:numPr>
        <w:spacing w:line="360" w:lineRule="auto"/>
        <w:jc w:val="both"/>
        <w:rPr>
          <w:rFonts w:cstheme="minorHAnsi"/>
        </w:rPr>
      </w:pPr>
      <w:r w:rsidRPr="00600EFF">
        <w:rPr>
          <w:rFonts w:cstheme="minorHAnsi"/>
        </w:rPr>
        <w:t xml:space="preserve">W wykonaniu obowiązków przewidzianych Dyrektywą Parlamentu Europejskiego i Rady (UE) 2019/1937 z dnia 23 października 2019 r. w sprawie ochrony osób zgłaszających naruszenia prawa Unii oraz ustawą z dnia 14 czerwca 2024 r. o ochronie sygnalistów (Dz.U. 2024 poz. 928) ustala się niniejszą procedurą przyjmowania zgłoszeń wewnętrznych oraz podejmowania działań następczych. </w:t>
      </w:r>
      <w:bookmarkStart w:id="0" w:name="_Hlk167086491"/>
      <w:r w:rsidRPr="00600EFF">
        <w:rPr>
          <w:rFonts w:cstheme="minorHAnsi"/>
        </w:rPr>
        <w:t xml:space="preserve"> </w:t>
      </w:r>
      <w:bookmarkEnd w:id="0"/>
      <w:r w:rsidRPr="00600EFF">
        <w:rPr>
          <w:rFonts w:cstheme="minorHAnsi"/>
        </w:rPr>
        <w:t xml:space="preserve">Celem niniejszej procedury jest ustalenie zasad przyjmowania zgłoszeń sygnalistów, ich weryfikacji, podejmowania działań wyjaśniających oraz następczych. </w:t>
      </w:r>
    </w:p>
    <w:p w14:paraId="7196EAD6" w14:textId="77777777" w:rsidR="0070363A" w:rsidRPr="00600EFF" w:rsidRDefault="0070363A" w:rsidP="0070363A">
      <w:pPr>
        <w:pStyle w:val="ListParagraph"/>
        <w:numPr>
          <w:ilvl w:val="0"/>
          <w:numId w:val="38"/>
        </w:numPr>
        <w:spacing w:line="360" w:lineRule="auto"/>
        <w:jc w:val="both"/>
        <w:rPr>
          <w:rFonts w:cstheme="minorHAnsi"/>
        </w:rPr>
      </w:pPr>
      <w:r w:rsidRPr="00600EFF">
        <w:rPr>
          <w:rFonts w:cstheme="minorHAnsi"/>
        </w:rPr>
        <w:t xml:space="preserve">Niniejsza procedura określa: </w:t>
      </w:r>
    </w:p>
    <w:p w14:paraId="45BC17D7"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 xml:space="preserve">ustalone kanały dokonywania zgłoszeń wewnętrznych; </w:t>
      </w:r>
    </w:p>
    <w:p w14:paraId="5BEB75EF"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procedurę dokonywania zgłoszeń wewnętrznych,</w:t>
      </w:r>
    </w:p>
    <w:p w14:paraId="73184210"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 xml:space="preserve">jednostkę organizacyjną lub podmiot zewnętrzny upoważniony do przyjmowania zgłoszeń wewnętrznych; </w:t>
      </w:r>
    </w:p>
    <w:p w14:paraId="04AB63C4"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 xml:space="preserve">jednostkę organizacyjną w ramach struktury organizacyjnej Podmiotu upoważnioną do podejmowania działań następczych, włączając w to weryfikację zgłoszenia wewnętrznego i dalszą komunikację z sygnalistą; </w:t>
      </w:r>
    </w:p>
    <w:p w14:paraId="3E1F04BC"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warunki objęcia ochroną sygnalistów oraz osób pomagających w zgłoszeniu w związku z dokonanym zgłoszeniem, w tym kwestię podejmowania działań następczych,</w:t>
      </w:r>
    </w:p>
    <w:p w14:paraId="4705726B"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warunki prowadzenia rejestru zgłoszeń,</w:t>
      </w:r>
    </w:p>
    <w:p w14:paraId="37034FB5"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 xml:space="preserve">zasady przetwarzania danych osobowych, </w:t>
      </w:r>
    </w:p>
    <w:p w14:paraId="1515AE9E" w14:textId="77777777" w:rsidR="0070363A" w:rsidRPr="00600EFF" w:rsidRDefault="0070363A" w:rsidP="0070363A">
      <w:pPr>
        <w:pStyle w:val="ListParagraph"/>
        <w:numPr>
          <w:ilvl w:val="0"/>
          <w:numId w:val="56"/>
        </w:numPr>
        <w:spacing w:line="360" w:lineRule="auto"/>
        <w:ind w:left="1134"/>
        <w:jc w:val="both"/>
        <w:rPr>
          <w:rFonts w:cstheme="minorHAnsi"/>
        </w:rPr>
      </w:pPr>
      <w:r w:rsidRPr="00600EFF">
        <w:rPr>
          <w:rFonts w:cstheme="minorHAnsi"/>
        </w:rPr>
        <w:t xml:space="preserve">środki ochrony sygnalistów oraz osób pomagających w zgłoszeniu przed działaniami odwetowymi.  </w:t>
      </w:r>
    </w:p>
    <w:p w14:paraId="7BD8B165" w14:textId="77777777" w:rsidR="0070363A" w:rsidRPr="00600EFF" w:rsidRDefault="0070363A" w:rsidP="0070363A">
      <w:pPr>
        <w:pStyle w:val="ListParagraph"/>
        <w:numPr>
          <w:ilvl w:val="0"/>
          <w:numId w:val="38"/>
        </w:numPr>
        <w:spacing w:line="360" w:lineRule="auto"/>
        <w:jc w:val="both"/>
        <w:rPr>
          <w:rFonts w:cstheme="minorHAnsi"/>
        </w:rPr>
      </w:pPr>
      <w:r w:rsidRPr="00600EFF">
        <w:rPr>
          <w:rFonts w:cstheme="minorHAnsi"/>
        </w:rPr>
        <w:t>W związku z przyjęciem niniejszej procedury ustala się następujące definicje:</w:t>
      </w:r>
    </w:p>
    <w:p w14:paraId="431A7344"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Informacja o naruszeniu prawa</w:t>
      </w:r>
      <w:r w:rsidRPr="00600EFF">
        <w:rPr>
          <w:rFonts w:cstheme="minorHAnsi"/>
        </w:rPr>
        <w:t xml:space="preserve"> – informacja, w tym uzasadnienie podejrzenie dotyczące zaistniałego lub potencjalnego naruszenia prawa, do którego doszło lub prawdopodobnie dojdzie w Podmiocie, w której Sygnalista uczestniczył w procesie rekrutacji lub innych negocjacji, a poprzedzających zawarcie umowy, pracuje lub pracował, lub w innym podmiocie prawnym, w którym sygnalista utrzymuje lub utrzymywał kontakt w kontekście związanym z praca, lub informację dotycząca próby ukrycia takiego naruszenia prawa,</w:t>
      </w:r>
    </w:p>
    <w:p w14:paraId="68C4D00B"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Kanał zgłoszeń</w:t>
      </w:r>
      <w:r w:rsidRPr="00600EFF">
        <w:rPr>
          <w:rFonts w:cstheme="minorHAnsi"/>
        </w:rPr>
        <w:t>- ustanowiony w Podmiocie bezpieczny i poufny sposób dokonywania zgłoszeń wewnętrznych,</w:t>
      </w:r>
    </w:p>
    <w:p w14:paraId="616E15C1"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Procedura</w:t>
      </w:r>
      <w:r w:rsidRPr="00600EFF">
        <w:rPr>
          <w:rFonts w:cstheme="minorHAnsi"/>
        </w:rPr>
        <w:t>- niniejsza procedura przyjmowania zgłoszeń oraz podejmowania działań następczych.</w:t>
      </w:r>
    </w:p>
    <w:p w14:paraId="57456C32" w14:textId="72420C68"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lastRenderedPageBreak/>
        <w:t>Podmiot</w:t>
      </w:r>
      <w:r w:rsidRPr="00600EFF">
        <w:rPr>
          <w:rFonts w:cstheme="minorHAnsi"/>
        </w:rPr>
        <w:t>-</w:t>
      </w:r>
      <w:r w:rsidRPr="00600EFF">
        <w:rPr>
          <w:rFonts w:eastAsia="Arial" w:cstheme="minorHAnsi"/>
          <w:b/>
          <w:bCs/>
          <w:lang w:eastAsia="pl-PL"/>
        </w:rPr>
        <w:t xml:space="preserve"> </w:t>
      </w:r>
      <w:r w:rsidRPr="00600EFF">
        <w:rPr>
          <w:rFonts w:cstheme="minorHAnsi"/>
        </w:rPr>
        <w:t xml:space="preserve">Finejas Poland </w:t>
      </w:r>
      <w:r w:rsidR="006D4148">
        <w:rPr>
          <w:rFonts w:cstheme="minorHAnsi"/>
        </w:rPr>
        <w:t>ul. Kazimierza Michalczyka 5, 53-633 Wrocław NIP:8971859663</w:t>
      </w:r>
    </w:p>
    <w:p w14:paraId="1D54A743"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Sygnalista</w:t>
      </w:r>
      <w:r w:rsidRPr="00600EFF">
        <w:rPr>
          <w:rFonts w:cstheme="minorHAnsi"/>
        </w:rPr>
        <w:t>- osoba fizyczna, która zgłasza lub ujawnia publicznie informację o naruszeniu prawa uzyskaną w kontekście związanym z pracą w Podmiocie, w tym pracownik, pracownik tymczasowy, osoba świadcząca pracę na innej podstawie niż stosunek pracy, w tym na podstawie umowy cywilnoprawnej, przedsiębiorca, prokurent, akcjonariusz lub wspólnik, członek organu osoby prawnej lub jednostki organizacyjnej nieposiadającej osobowości prawnej, osoba świadcząca pracę pod nadzorem i kierownictwem wykonawcy, podwykonawcy lub dostawcy, w tym na podstawie umowy cywilnoprawnej, stażysta, wolontariusz, praktykant,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 żołnierz w rozumieniu art. 2 pkt 39 ustawy z dnia 11 marca 2022 r. o obronie Ojczyzny (Dz. U. z 2024 r. poz. 248) oraz osób, które uzyskały informacje w kontekście związanym z pracą w Podmiocie przed nawiązaniem stosunku pracy lub innego stosunku prawnego stanowiącego podstawę świadczenia pracy lub usług lub pełnienia funkcji w podmiocie prawnym lub na rzecz tego podmiotu, lub pełnienia służby w podmiocie prawnym lub już po ustaniu takiego stosunku pracy.</w:t>
      </w:r>
    </w:p>
    <w:p w14:paraId="53A17ACC"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Ujawnienie publiczne</w:t>
      </w:r>
      <w:r w:rsidRPr="00600EFF">
        <w:rPr>
          <w:rFonts w:cstheme="minorHAnsi"/>
        </w:rPr>
        <w:t>- podanie informacji o naruszeniu prawa przez Sygnalistę do wiadomości publicznej</w:t>
      </w:r>
      <w:r w:rsidRPr="00600EFF">
        <w:rPr>
          <w:rFonts w:cstheme="minorHAnsi"/>
          <w:b/>
          <w:bCs/>
        </w:rPr>
        <w:t>,</w:t>
      </w:r>
    </w:p>
    <w:p w14:paraId="74F0CC8E"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Osoba upoważniona</w:t>
      </w:r>
      <w:r w:rsidRPr="00600EFF">
        <w:rPr>
          <w:rFonts w:cstheme="minorHAnsi"/>
        </w:rPr>
        <w:t xml:space="preserve">- osoba upoważniona w ramach struktury organizacyjnej Podmiotu do przyjmowania zgłoszeń, podejmowania działań następczych, w tym weryfikację zgłoszenia, dalszą komunikację z sygnalistą oraz przekazywanie Sygnaliście informacji zwrotnej. </w:t>
      </w:r>
    </w:p>
    <w:p w14:paraId="54E46BBB"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Zgłoszenie</w:t>
      </w:r>
      <w:r w:rsidRPr="00600EFF">
        <w:rPr>
          <w:rFonts w:cstheme="minorHAnsi"/>
        </w:rPr>
        <w:t>- informacja przekazana Podmiotowi przez Sygnalistę dotycząca powzięcia przez niego informacji o naruszeniu prawa,</w:t>
      </w:r>
    </w:p>
    <w:p w14:paraId="5A05C06B" w14:textId="77777777" w:rsidR="0070363A" w:rsidRPr="00600EFF" w:rsidRDefault="0070363A" w:rsidP="0070363A">
      <w:pPr>
        <w:pStyle w:val="ListParagraph"/>
        <w:numPr>
          <w:ilvl w:val="0"/>
          <w:numId w:val="48"/>
        </w:numPr>
        <w:spacing w:line="360" w:lineRule="auto"/>
        <w:ind w:left="1134"/>
        <w:jc w:val="both"/>
        <w:rPr>
          <w:rFonts w:cstheme="minorHAnsi"/>
        </w:rPr>
      </w:pPr>
      <w:r w:rsidRPr="00600EFF">
        <w:rPr>
          <w:rFonts w:cstheme="minorHAnsi"/>
          <w:b/>
          <w:bCs/>
        </w:rPr>
        <w:t>Zgłoszenie zewnętrzne</w:t>
      </w:r>
      <w:r w:rsidRPr="00600EFF">
        <w:rPr>
          <w:rFonts w:cstheme="minorHAnsi"/>
        </w:rPr>
        <w:t>- informacja przekazana przez Sygnalistę Rzecznikowi Praw Obywatelskich lub organowi publicznemu dotycząca powzięcia przez niego informacji o naruszeniu prawa.</w:t>
      </w:r>
    </w:p>
    <w:p w14:paraId="29B3C0C2" w14:textId="77777777" w:rsidR="0070363A" w:rsidRPr="00600EFF" w:rsidRDefault="0070363A" w:rsidP="0070363A">
      <w:pPr>
        <w:spacing w:line="360" w:lineRule="auto"/>
        <w:ind w:firstLine="360"/>
        <w:jc w:val="center"/>
        <w:rPr>
          <w:rFonts w:cstheme="minorHAnsi"/>
          <w:b/>
          <w:bCs/>
        </w:rPr>
      </w:pPr>
      <w:r w:rsidRPr="00600EFF">
        <w:rPr>
          <w:rFonts w:cstheme="minorHAnsi"/>
          <w:b/>
          <w:bCs/>
        </w:rPr>
        <w:t>§ 2. KANAŁ ZGŁOSZENIA SYGNALISTÓW</w:t>
      </w:r>
    </w:p>
    <w:p w14:paraId="6FF69DED" w14:textId="77777777" w:rsidR="0070363A" w:rsidRPr="00600EFF" w:rsidRDefault="0070363A" w:rsidP="0070363A">
      <w:pPr>
        <w:pStyle w:val="ListParagraph"/>
        <w:numPr>
          <w:ilvl w:val="0"/>
          <w:numId w:val="39"/>
        </w:numPr>
        <w:spacing w:line="360" w:lineRule="auto"/>
        <w:jc w:val="both"/>
        <w:rPr>
          <w:rFonts w:cstheme="minorHAnsi"/>
        </w:rPr>
      </w:pPr>
      <w:r w:rsidRPr="00600EFF">
        <w:rPr>
          <w:rFonts w:cstheme="minorHAnsi"/>
        </w:rPr>
        <w:t>W celu dokonania zgłoszenia wewnętrznego, Sygnalista korzysta z ustalonego przez Podmiot następującego Kanału Zgłoszenia:</w:t>
      </w:r>
    </w:p>
    <w:p w14:paraId="631589ED" w14:textId="1ABFABE7" w:rsidR="0070363A" w:rsidRPr="00600EFF" w:rsidRDefault="0070363A" w:rsidP="0070363A">
      <w:pPr>
        <w:pStyle w:val="ListParagraph"/>
        <w:numPr>
          <w:ilvl w:val="0"/>
          <w:numId w:val="49"/>
        </w:numPr>
        <w:spacing w:line="360" w:lineRule="auto"/>
        <w:jc w:val="both"/>
        <w:rPr>
          <w:rFonts w:cstheme="minorHAnsi"/>
        </w:rPr>
      </w:pPr>
      <w:r w:rsidRPr="00600EFF">
        <w:rPr>
          <w:rFonts w:cstheme="minorHAnsi"/>
        </w:rPr>
        <w:t xml:space="preserve">poczta elektroniczna o adresie </w:t>
      </w:r>
      <w:hyperlink r:id="rId8" w:history="1">
        <w:r w:rsidR="007E0E87" w:rsidRPr="00FC2AEC">
          <w:rPr>
            <w:rStyle w:val="Hyperlink"/>
            <w:rFonts w:cstheme="minorHAnsi"/>
          </w:rPr>
          <w:t>confidentia.</w:t>
        </w:r>
        <w:r w:rsidR="007E0E87" w:rsidRPr="00FC2AEC">
          <w:rPr>
            <w:rStyle w:val="Hyperlink"/>
            <w:rFonts w:cstheme="minorHAnsi"/>
          </w:rPr>
          <w:t>wroclaw</w:t>
        </w:r>
        <w:r w:rsidR="007E0E87" w:rsidRPr="00FC2AEC">
          <w:rPr>
            <w:rStyle w:val="Hyperlink"/>
            <w:rFonts w:cstheme="minorHAnsi"/>
          </w:rPr>
          <w:t>@finejas.pl</w:t>
        </w:r>
      </w:hyperlink>
      <w:r w:rsidRPr="00600EFF">
        <w:rPr>
          <w:rFonts w:cstheme="minorHAnsi"/>
        </w:rPr>
        <w:t>, na którą Sygnalista ma możliwość przesłania Zgłoszenia i do której dostęp ma wyłącznie Osoba upoważniona.</w:t>
      </w:r>
    </w:p>
    <w:p w14:paraId="4C593A9D" w14:textId="77777777" w:rsidR="0070363A" w:rsidRPr="00600EFF" w:rsidRDefault="0070363A" w:rsidP="0070363A">
      <w:pPr>
        <w:pStyle w:val="ListParagraph"/>
        <w:numPr>
          <w:ilvl w:val="0"/>
          <w:numId w:val="39"/>
        </w:numPr>
        <w:spacing w:line="360" w:lineRule="auto"/>
        <w:jc w:val="both"/>
        <w:rPr>
          <w:rFonts w:cstheme="minorHAnsi"/>
        </w:rPr>
      </w:pPr>
      <w:r w:rsidRPr="00600EFF">
        <w:rPr>
          <w:rFonts w:cstheme="minorHAnsi"/>
        </w:rPr>
        <w:t>Zgłoszenia złożone z pominięciem ustalonego w niniejszej Procedurze Kanału Zgłoszenia, nie będą rozpatrywane na zasadach wskazanych w Procedurze.</w:t>
      </w:r>
    </w:p>
    <w:p w14:paraId="162A79FF" w14:textId="77777777" w:rsidR="0070363A" w:rsidRPr="00600EFF" w:rsidRDefault="0070363A" w:rsidP="0070363A">
      <w:pPr>
        <w:pStyle w:val="ListParagraph"/>
        <w:numPr>
          <w:ilvl w:val="0"/>
          <w:numId w:val="39"/>
        </w:numPr>
        <w:spacing w:line="360" w:lineRule="auto"/>
        <w:jc w:val="both"/>
        <w:rPr>
          <w:rFonts w:cstheme="minorHAnsi"/>
        </w:rPr>
      </w:pPr>
      <w:r w:rsidRPr="00600EFF">
        <w:rPr>
          <w:rFonts w:cstheme="minorHAnsi"/>
        </w:rPr>
        <w:lastRenderedPageBreak/>
        <w:t>Ustalony Kanał Zgłoszenia nie dotyczą Zgłoszenia zewnętrznego, które Sygnalista może dokonać od dnia 25.12.2024 r. do Rzecznika Praw Obywatelskich lub organu publicznego bez uprzedniego dokonania zgłoszenia wewnętrznego. W szczególnych przypadkach może ono zostać przekazane stosownych do instytucji, organów lub jednostek organizacyjnych Unii Europejskiej.</w:t>
      </w:r>
    </w:p>
    <w:p w14:paraId="7696E0C2" w14:textId="77777777" w:rsidR="0070363A" w:rsidRPr="00600EFF" w:rsidRDefault="0070363A" w:rsidP="0070363A">
      <w:pPr>
        <w:pStyle w:val="ListParagraph"/>
        <w:numPr>
          <w:ilvl w:val="0"/>
          <w:numId w:val="39"/>
        </w:numPr>
        <w:spacing w:line="360" w:lineRule="auto"/>
        <w:jc w:val="both"/>
        <w:rPr>
          <w:rFonts w:cstheme="minorHAnsi"/>
        </w:rPr>
      </w:pPr>
      <w:r w:rsidRPr="00600EFF">
        <w:rPr>
          <w:rFonts w:cstheme="minorHAnsi"/>
        </w:rPr>
        <w:t>Dokonanie zgłoszenia wewnętrznego lub zewnętrznego wolne jest od opłat.</w:t>
      </w:r>
    </w:p>
    <w:p w14:paraId="15396A5D" w14:textId="77777777" w:rsidR="0070363A" w:rsidRPr="00600EFF" w:rsidRDefault="0070363A" w:rsidP="0070363A">
      <w:pPr>
        <w:spacing w:line="360" w:lineRule="auto"/>
        <w:ind w:firstLine="349"/>
        <w:jc w:val="center"/>
        <w:rPr>
          <w:rFonts w:cstheme="minorHAnsi"/>
          <w:b/>
          <w:bCs/>
        </w:rPr>
      </w:pPr>
      <w:r w:rsidRPr="00600EFF">
        <w:rPr>
          <w:rFonts w:cstheme="minorHAnsi"/>
          <w:b/>
          <w:bCs/>
        </w:rPr>
        <w:t>§ 3. PROCEDURA DOKONYWANIA ZGŁOSZEŃ WEWNĘTRZNYCH</w:t>
      </w:r>
    </w:p>
    <w:p w14:paraId="56B23D3D"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 xml:space="preserve">Aby przyspieszyć rozpatrywanie Zgłoszenia i podjęcie odpowiednich działań następczych, zaleca się, aby w Zgłoszeniu było określone: </w:t>
      </w:r>
    </w:p>
    <w:p w14:paraId="0EE423A1" w14:textId="3636E833"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dane Sygnalisty i sposób kontaktu z Sygnalistą (chyba, że Zgłoszenie jest dokonywane anonimowo),</w:t>
      </w:r>
    </w:p>
    <w:p w14:paraId="6137A27D" w14:textId="77777777"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dane osoby, której dotyczy Zgłoszenie,</w:t>
      </w:r>
    </w:p>
    <w:p w14:paraId="2E618ECC" w14:textId="77777777"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kategorię naruszenia prawa,</w:t>
      </w:r>
    </w:p>
    <w:p w14:paraId="6FAFE579" w14:textId="77777777"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wszelkie okoliczności wskazujące na naruszenie prawa,</w:t>
      </w:r>
    </w:p>
    <w:p w14:paraId="4A034A18" w14:textId="77777777"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informacje, dokumenty oraz inne dowody dotyczące wystąpienia naruszenia prawa lub nieprawidłowości wskazanych w Zgłoszeniu, w tym w szczególności dane świadków naruszenia,</w:t>
      </w:r>
    </w:p>
    <w:p w14:paraId="7B3E4D5D" w14:textId="77777777" w:rsidR="0070363A" w:rsidRPr="00600EFF" w:rsidRDefault="0070363A" w:rsidP="0070363A">
      <w:pPr>
        <w:pStyle w:val="ListParagraph"/>
        <w:numPr>
          <w:ilvl w:val="0"/>
          <w:numId w:val="51"/>
        </w:numPr>
        <w:spacing w:line="360" w:lineRule="auto"/>
        <w:jc w:val="both"/>
        <w:rPr>
          <w:rFonts w:cstheme="minorHAnsi"/>
        </w:rPr>
      </w:pPr>
      <w:r w:rsidRPr="00600EFF">
        <w:rPr>
          <w:rFonts w:cstheme="minorHAnsi"/>
        </w:rPr>
        <w:t>miejsce, czas, okres, w którym doszło do naruszenia,</w:t>
      </w:r>
    </w:p>
    <w:p w14:paraId="202AD00A"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Sygnalista przed dokonaniem Zgłoszenia powinien zapoznać się z niniejszą Procedurą oraz klauzulą informacyjną dotyczącą przetwarzania danych osobowych, która stanowi załącznik nr 1 do niniejszej Procedury.</w:t>
      </w:r>
    </w:p>
    <w:p w14:paraId="257BCECD"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 xml:space="preserve">Podmiot obsługuje Zgłoszenia dokonane anonimowe. W celu dokonania Zgłoszenia anonimowo zaleca się, aby Sygnalista skierował Zgłoszenie za pośrednictwem adresu e-mail, który nie zawiera danych osobowych np. imię, nazwisko czy innych danych pozwalających na ustalenie jego tożsamości. W tytule lub/i treści Zgłoszenia zaleca się wskazanie charakteru anonimowego Zgłoszenia oraz nie podawanie swoich danych osobowych. </w:t>
      </w:r>
    </w:p>
    <w:p w14:paraId="19B946AC"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Dane osobowe Sygnalisty, które pozwalają na ustalenie jego tożsamości, nie podlegają ujawnieniu nieupoważnionym osobom, chyba że za wyraźną zgodą Sygnalisty.</w:t>
      </w:r>
    </w:p>
    <w:p w14:paraId="73D8F0CC"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W przypadku, gdy ujawnienie tożsamości Sygnalisty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przysługującej osobie, której dotyczy Zgłoszenie, pkt 4 powyżej nie stosuje się. W takiej sytuacji przed dokonaniem ujawnienia tożsamości Sygnalisty, właściwy organ publiczny lub właściwy sąd powiadamia o tym Sygnalistę i przesyła mu w postaci papierowej lub elektronicznej wyjaśnienie powodów ujawnienia jego danych osobowych, chyba że takie powiadomienie zagrozi postępowaniu wyjaśniającemu lub postępowaniu przygotowawczemu lub sądowemu.</w:t>
      </w:r>
    </w:p>
    <w:p w14:paraId="649ACAC7" w14:textId="77777777" w:rsidR="0070363A" w:rsidRPr="00600EFF" w:rsidRDefault="0070363A" w:rsidP="0070363A">
      <w:pPr>
        <w:pStyle w:val="ListParagraph"/>
        <w:numPr>
          <w:ilvl w:val="0"/>
          <w:numId w:val="40"/>
        </w:numPr>
        <w:spacing w:line="360" w:lineRule="auto"/>
        <w:ind w:left="709"/>
        <w:jc w:val="both"/>
        <w:rPr>
          <w:rFonts w:cstheme="minorHAnsi"/>
        </w:rPr>
      </w:pPr>
      <w:r w:rsidRPr="00600EFF">
        <w:rPr>
          <w:rFonts w:cstheme="minorHAnsi"/>
        </w:rPr>
        <w:t xml:space="preserve">W celu rozpatrzenia Zgłoszenia oraz podjęcia działań wyjaśniających i następczych konieczne może okazać się uzupełnienia przez Sygnalistę informacji przekazanych w Zgłoszeniu. W takiej sytuacji Osoba </w:t>
      </w:r>
      <w:r w:rsidRPr="00600EFF">
        <w:rPr>
          <w:rFonts w:cstheme="minorHAnsi"/>
        </w:rPr>
        <w:lastRenderedPageBreak/>
        <w:t>upoważniona ma prawo skontaktować się z Sygnalistą z prośbą o ich uzupełnienie wskazując, jakie informacje są niezbędne.</w:t>
      </w:r>
    </w:p>
    <w:p w14:paraId="21621A1F" w14:textId="77777777" w:rsidR="0070363A" w:rsidRPr="00600EFF" w:rsidRDefault="0070363A" w:rsidP="0070363A">
      <w:pPr>
        <w:pStyle w:val="ListParagraph"/>
        <w:numPr>
          <w:ilvl w:val="0"/>
          <w:numId w:val="40"/>
        </w:numPr>
        <w:spacing w:line="360" w:lineRule="auto"/>
        <w:ind w:left="709"/>
        <w:jc w:val="both"/>
        <w:rPr>
          <w:rFonts w:cstheme="minorHAnsi"/>
          <w:strike/>
        </w:rPr>
      </w:pPr>
      <w:r w:rsidRPr="00600EFF">
        <w:rPr>
          <w:rFonts w:cstheme="minorHAnsi"/>
        </w:rPr>
        <w:t>W przypadku anonimowego Zgłoszenia, Osoba upoważniona nie przekazuje wymaganych w tej Procedurze informacji, chyba że Sygnalista podał w Zgłoszeniu inne dane kontaktowe.</w:t>
      </w:r>
    </w:p>
    <w:p w14:paraId="4B90EB55" w14:textId="77777777" w:rsidR="0070363A" w:rsidRPr="00600EFF" w:rsidRDefault="0070363A" w:rsidP="0070363A">
      <w:pPr>
        <w:pStyle w:val="ListParagraph"/>
        <w:spacing w:line="360" w:lineRule="auto"/>
        <w:ind w:left="709"/>
        <w:jc w:val="center"/>
        <w:rPr>
          <w:rFonts w:cstheme="minorHAnsi"/>
          <w:strike/>
          <w:highlight w:val="yellow"/>
        </w:rPr>
      </w:pPr>
    </w:p>
    <w:p w14:paraId="11A0EE14" w14:textId="77777777" w:rsidR="0070363A" w:rsidRPr="00600EFF" w:rsidRDefault="0070363A" w:rsidP="0070363A">
      <w:pPr>
        <w:spacing w:line="360" w:lineRule="auto"/>
        <w:ind w:firstLine="349"/>
        <w:jc w:val="center"/>
        <w:rPr>
          <w:rFonts w:cstheme="minorHAnsi"/>
          <w:b/>
          <w:bCs/>
        </w:rPr>
      </w:pPr>
      <w:r w:rsidRPr="00600EFF">
        <w:rPr>
          <w:rFonts w:cstheme="minorHAnsi"/>
          <w:b/>
          <w:bCs/>
        </w:rPr>
        <w:t>§ 4. PROCEDURA PRZYJMOWANIA ORAZ ROZPATRYWANIA ZGŁOSZEŃ WEWNĘTRZNYCH</w:t>
      </w:r>
    </w:p>
    <w:p w14:paraId="65DA32B4"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 xml:space="preserve">Przyjmowanie i rozpatrywania Zgłoszeń oraz podejmowanie działań następczych i kontakt z Sygnalistą został powierzony Osobie upoważnionej. </w:t>
      </w:r>
    </w:p>
    <w:p w14:paraId="7ED8217E"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Po złożeniu Zgłoszenia, Sygnalista otrzymuje potwierdzenie przyjęcia Zgłoszenia w terminie 7 (siedmiu) dni od daty otrzymania Zgłoszenia.</w:t>
      </w:r>
    </w:p>
    <w:p w14:paraId="4489D383"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Po otrzymaniu i potwierdzeniu Zgłoszenia, Osoba upoważniona przeprowadza wstępną analizę, oceniając czy przekazana informacja stanowi informację o naruszeniu prawa, a także czy przekazana informacja pozwala na rozpoczęcie postępowania wyjaśniającego. Na tym etapie Osoba upoważniona ma prawo zwrócić się do Sygnalisty o dodatkowe informacje lub wyjaśnienia.</w:t>
      </w:r>
    </w:p>
    <w:p w14:paraId="7684226D" w14:textId="77777777" w:rsidR="0070363A" w:rsidRPr="00600EFF" w:rsidRDefault="0070363A" w:rsidP="0070363A">
      <w:pPr>
        <w:pStyle w:val="ListParagraph"/>
        <w:numPr>
          <w:ilvl w:val="0"/>
          <w:numId w:val="41"/>
        </w:numPr>
        <w:spacing w:line="360" w:lineRule="auto"/>
        <w:jc w:val="both"/>
        <w:rPr>
          <w:rFonts w:cstheme="minorHAnsi"/>
        </w:rPr>
      </w:pPr>
      <w:bookmarkStart w:id="1" w:name="_Hlk172539177"/>
      <w:r w:rsidRPr="00600EFF">
        <w:rPr>
          <w:rFonts w:cstheme="minorHAnsi"/>
        </w:rPr>
        <w:t>Osoba upoważniona może odstąpić od rozpatrywania Zgłoszenia i przeprowadzenia postępowania wyjaśniającego tylko w sytuacjach, gdy Zgłoszenie jest sposób oczywisty nieprawdziwe lub gdy mimo prób nie udało się uzyskać od Sygnalisty niezbędnych informacji do rozpatrywania Zgłoszenia i przeprowadzenia postępowania wyjaśniającego.</w:t>
      </w:r>
    </w:p>
    <w:p w14:paraId="4629A7A2" w14:textId="77777777" w:rsidR="0070363A" w:rsidRPr="00600EFF" w:rsidRDefault="0070363A" w:rsidP="0070363A">
      <w:pPr>
        <w:pStyle w:val="ListParagraph"/>
        <w:numPr>
          <w:ilvl w:val="0"/>
          <w:numId w:val="41"/>
        </w:numPr>
        <w:spacing w:line="360" w:lineRule="auto"/>
        <w:jc w:val="both"/>
        <w:rPr>
          <w:rFonts w:cstheme="minorHAnsi"/>
        </w:rPr>
      </w:pPr>
      <w:bookmarkStart w:id="2" w:name="_Hlk172720020"/>
      <w:r w:rsidRPr="00600EFF">
        <w:rPr>
          <w:rFonts w:cstheme="minorHAnsi"/>
        </w:rPr>
        <w:t>Jeśli przedmiotem Zgłoszenia jest informacja o naruszeniu prawa, a posiadane dane pozwalają ocenić Zgłoszenie jako prawdziwe i wystarczające, aby uznać, że istnieje prawdopodobieństwo naruszenia lub nieprawidłowości przepisów prawa w Podmiocie, Osoba upoważniona rozpoczyna postępowanie wyjaśniające.</w:t>
      </w:r>
    </w:p>
    <w:p w14:paraId="4710CB64" w14:textId="77777777" w:rsidR="0070363A" w:rsidRPr="00600EFF" w:rsidRDefault="0070363A" w:rsidP="0070363A">
      <w:pPr>
        <w:pStyle w:val="ListParagraph"/>
        <w:numPr>
          <w:ilvl w:val="0"/>
          <w:numId w:val="41"/>
        </w:numPr>
        <w:spacing w:line="360" w:lineRule="auto"/>
        <w:jc w:val="both"/>
        <w:rPr>
          <w:rFonts w:cstheme="minorHAnsi"/>
        </w:rPr>
      </w:pPr>
      <w:bookmarkStart w:id="3" w:name="_Hlk172719927"/>
      <w:bookmarkStart w:id="4" w:name="_Hlk172539266"/>
      <w:bookmarkEnd w:id="1"/>
      <w:bookmarkEnd w:id="2"/>
      <w:r w:rsidRPr="00600EFF">
        <w:rPr>
          <w:rFonts w:cstheme="minorHAnsi"/>
        </w:rPr>
        <w:t xml:space="preserve">Osoba upoważniona prowadzi postępowanie wyjaśniające samodzielnie, o ile charakter Zgłoszenia i przedstawione w nim dowody oraz okoliczności nie wymagają zaangażowania przedstawicieli innych osób. Osoba upoważniona może skorzystać ze wsparcia niezależnego i bezstronnego eksperta, jeśli jego wiedza i doświadczenie mogą okazać się pomocne przy prowadzeniu działań wyjaśniających. Ekspert może być zostać powołany jako członek Osoba upoważniona w przypadku, kiedy jest osobą należącą do struktury organizacyjnej Podmiotu. W takim wypadku Podmiot upoważnia eksperta do prowadzenia działań wyjaśniających na piśmie oraz zobowiązuje go do zachowania poufności w zakresie uzyskanych danych osobowych i informacji, także po zakończeniu prowadzenia działań wyjaśniających. W przypadku, gdy Ekspert nie należy do struktury Podmiotu, nie jest on Osobą upoważnioną i nie mogą być mu udostępniane dane osobowe wskazane w Zgłoszeniu, ani żadne informację pozwalające na ustalenie tożsamości Sygnalisty, czy osób wskazanych w Zgłoszeniu. W takim wypadku ekspert pełni jedynie funkcję doradczą.  </w:t>
      </w:r>
    </w:p>
    <w:bookmarkEnd w:id="3"/>
    <w:p w14:paraId="6A57977D"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lastRenderedPageBreak/>
        <w:t>W przypadku, gdy Osoba upoważniona jest osobą, której dotyczy Zgłoszenie, zostaje ona wyłączona z procesu rozpatrywania Zgłoszenia, które jej dotyczy. Osoba upoważniona może też samodzielnie poinformować o okolicznościach ją wyłączających lub mających wpływ na jego obiektywność i bezstronność. W wypadku wyłączenia Osoby upoważnionej Podmiot wyznaczy i upoważni inną osobę do rozpatrzenia Zgłoszenia.</w:t>
      </w:r>
    </w:p>
    <w:p w14:paraId="3D5B8049"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Osoba upoważniona, prowadząc postępowanie wyjaśniające, działa zgodnie z zasadami uczciwości, bezstronności i poufności oraz zasadami określonymi w niniejszej Procedurze</w:t>
      </w:r>
      <w:bookmarkStart w:id="5" w:name="_Hlk172720155"/>
      <w:r w:rsidRPr="00600EFF">
        <w:rPr>
          <w:rFonts w:cstheme="minorHAnsi"/>
        </w:rPr>
        <w:t xml:space="preserve">, a w przypadkach nieuregulowanych – zgodnie z ustawą z dnia 14 czerwca 2024 r. o ochronie sygnalistów (Dz.U. 2024 poz. 928). </w:t>
      </w:r>
    </w:p>
    <w:bookmarkEnd w:id="5"/>
    <w:p w14:paraId="7A553D3E"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Osoba upoważniona chroni Sygnalistę, podejmując działania mające na celu zapobieżenie ujawnieniu jego tożsamości osobom trzecim oraz wszelkim formom działań, takim jak nierówne traktowanie, mobbing czy prześladowanie. Ochrona ta obejmuje także osoby bliskie Sygnaliście, powiązane z Sygnalistą czy pomagające mu dokonać Zgłoszenia.</w:t>
      </w:r>
    </w:p>
    <w:p w14:paraId="331B73BA"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 xml:space="preserve">W celu wyjaśnienia okoliczności wskazanych w Zgłoszeniu Osoba upoważniona ma prawo przeprowadzić poufne spotkania z innymi pracownikami lub współpracownikami, w szczególności wymienionymi w Zgłoszeniu jako świadkowie naruszenia prawa. </w:t>
      </w:r>
    </w:p>
    <w:p w14:paraId="3F337851" w14:textId="77777777" w:rsidR="0070363A" w:rsidRPr="00600EFF" w:rsidRDefault="0070363A" w:rsidP="0070363A">
      <w:pPr>
        <w:pStyle w:val="ListParagraph"/>
        <w:numPr>
          <w:ilvl w:val="0"/>
          <w:numId w:val="41"/>
        </w:numPr>
        <w:spacing w:line="360" w:lineRule="auto"/>
        <w:jc w:val="both"/>
        <w:rPr>
          <w:rFonts w:cstheme="minorHAnsi"/>
        </w:rPr>
      </w:pPr>
      <w:r w:rsidRPr="00600EFF">
        <w:rPr>
          <w:rFonts w:cstheme="minorHAnsi"/>
        </w:rPr>
        <w:t>Osoba upoważniona sporządza notatkę służbową z każdego spotkania, a wyjaśnienia i informacje uzyskane od wezwanych osób są zapisywane w protokole.</w:t>
      </w:r>
    </w:p>
    <w:bookmarkEnd w:id="4"/>
    <w:p w14:paraId="349B9BC9" w14:textId="77777777" w:rsidR="0070363A" w:rsidRPr="00600EFF" w:rsidRDefault="0070363A" w:rsidP="0070363A">
      <w:pPr>
        <w:spacing w:line="360" w:lineRule="auto"/>
        <w:ind w:firstLine="360"/>
        <w:jc w:val="center"/>
        <w:rPr>
          <w:rFonts w:cstheme="minorHAnsi"/>
          <w:b/>
          <w:bCs/>
        </w:rPr>
      </w:pPr>
      <w:r w:rsidRPr="00600EFF">
        <w:rPr>
          <w:rFonts w:cstheme="minorHAnsi"/>
          <w:b/>
          <w:bCs/>
        </w:rPr>
        <w:t>§ 5. PROCEDURA PODEJMOWANIA DZIAŁAŃ NASTĘPCZYCH</w:t>
      </w:r>
    </w:p>
    <w:p w14:paraId="50B4381F" w14:textId="77777777" w:rsidR="0070363A" w:rsidRPr="00600EFF" w:rsidRDefault="0070363A" w:rsidP="0070363A">
      <w:pPr>
        <w:pStyle w:val="ListParagraph"/>
        <w:numPr>
          <w:ilvl w:val="0"/>
          <w:numId w:val="42"/>
        </w:numPr>
        <w:spacing w:line="360" w:lineRule="auto"/>
        <w:jc w:val="both"/>
        <w:rPr>
          <w:rFonts w:cstheme="minorHAnsi"/>
        </w:rPr>
      </w:pPr>
      <w:bookmarkStart w:id="6" w:name="_Hlk172540085"/>
      <w:r w:rsidRPr="00600EFF">
        <w:rPr>
          <w:rFonts w:cstheme="minorHAnsi"/>
        </w:rPr>
        <w:t xml:space="preserve">Po zakończeniu czynności wyjaśniających Osoba upoważniona podejmuje decyzję co do podjęcia działań następczych bądź odstąpienia od nich w przypadku, kiedy Zgłoszenie okaże się niezasadne. </w:t>
      </w:r>
    </w:p>
    <w:p w14:paraId="2CD9EFC1" w14:textId="77777777" w:rsidR="0070363A" w:rsidRPr="00600EFF" w:rsidRDefault="0070363A" w:rsidP="0070363A">
      <w:pPr>
        <w:pStyle w:val="ListParagraph"/>
        <w:numPr>
          <w:ilvl w:val="0"/>
          <w:numId w:val="42"/>
        </w:numPr>
        <w:spacing w:line="360" w:lineRule="auto"/>
        <w:jc w:val="both"/>
        <w:rPr>
          <w:rFonts w:cstheme="minorHAnsi"/>
        </w:rPr>
      </w:pPr>
      <w:r w:rsidRPr="00600EFF">
        <w:rPr>
          <w:rFonts w:cstheme="minorHAnsi"/>
        </w:rPr>
        <w:t xml:space="preserve">W ramach działań następczych Osoba upoważniona może zalecić i podjąć konkretne działania naprawcze lub dyscyplinarne wobec osoby, która dopuściła się naruszenia prawa. W szczególności może polegać ono na wszczęciu dodatkowego postępowania wyjaśniającego, kontroli lub postępowania administracyjnego, ale również wniesienie oskarżenia, powództwa czy innych działań mających na celu dochodzenie roszczeń w stosunku do osoby, która dopuściła się naruszenia prawa. </w:t>
      </w:r>
    </w:p>
    <w:p w14:paraId="3FCF8792" w14:textId="77777777" w:rsidR="0070363A" w:rsidRPr="00600EFF" w:rsidRDefault="0070363A" w:rsidP="0070363A">
      <w:pPr>
        <w:pStyle w:val="ListParagraph"/>
        <w:numPr>
          <w:ilvl w:val="0"/>
          <w:numId w:val="42"/>
        </w:numPr>
        <w:spacing w:line="360" w:lineRule="auto"/>
        <w:jc w:val="both"/>
        <w:rPr>
          <w:rFonts w:cstheme="minorHAnsi"/>
        </w:rPr>
      </w:pPr>
      <w:r w:rsidRPr="00600EFF">
        <w:rPr>
          <w:rFonts w:cstheme="minorHAnsi"/>
        </w:rPr>
        <w:t xml:space="preserve">Zadaniem Osoby upoważnionej jest również przedstawienie środków zaradczych, które mają na celu wyeliminowanie podobnych naruszeń prawa w przyszłości. </w:t>
      </w:r>
    </w:p>
    <w:bookmarkEnd w:id="6"/>
    <w:p w14:paraId="1790B852" w14:textId="77777777" w:rsidR="0070363A" w:rsidRDefault="0070363A" w:rsidP="0070363A">
      <w:pPr>
        <w:pStyle w:val="ListParagraph"/>
        <w:numPr>
          <w:ilvl w:val="0"/>
          <w:numId w:val="42"/>
        </w:numPr>
        <w:spacing w:line="360" w:lineRule="auto"/>
        <w:jc w:val="both"/>
        <w:rPr>
          <w:rFonts w:cstheme="minorHAnsi"/>
        </w:rPr>
      </w:pPr>
      <w:r w:rsidRPr="00600EFF">
        <w:rPr>
          <w:rFonts w:cstheme="minorHAnsi"/>
        </w:rPr>
        <w:t xml:space="preserve">W ciągu 3 miesięcy od dnia potwierdzenia Zgłoszenia Osoba upoważniona przekazuje Sygnaliście informację zwrotną </w:t>
      </w:r>
      <w:bookmarkStart w:id="7" w:name="_Hlk170902419"/>
      <w:r w:rsidRPr="00600EFF">
        <w:rPr>
          <w:rFonts w:cstheme="minorHAnsi"/>
        </w:rPr>
        <w:t>o planowanych lub podjętych działaniach następczych oraz powody tych działań.</w:t>
      </w:r>
      <w:bookmarkEnd w:id="7"/>
      <w:r w:rsidRPr="00600EFF">
        <w:rPr>
          <w:rFonts w:cstheme="minorHAnsi"/>
        </w:rPr>
        <w:t xml:space="preserve"> W przypadku nieprzekazania Sygnaliście potwierdzenia Zgłoszenia, termin wskazany w zdaniu pierwszym liczony jest od upływu 7 dni od dnia dokonania Zgłoszenia, chyba, że Sygnalista nie podał adresu do kontaktu, na który należy przekazać informację zwrotną.</w:t>
      </w:r>
    </w:p>
    <w:p w14:paraId="2B381D44" w14:textId="77777777" w:rsidR="006D4148" w:rsidRPr="006D4148" w:rsidRDefault="006D4148" w:rsidP="006D4148">
      <w:pPr>
        <w:spacing w:line="360" w:lineRule="auto"/>
        <w:jc w:val="both"/>
        <w:rPr>
          <w:rFonts w:cstheme="minorHAnsi"/>
        </w:rPr>
      </w:pPr>
    </w:p>
    <w:p w14:paraId="25FBD1D2" w14:textId="77777777" w:rsidR="0070363A" w:rsidRPr="00600EFF" w:rsidRDefault="0070363A" w:rsidP="0070363A">
      <w:pPr>
        <w:spacing w:line="360" w:lineRule="auto"/>
        <w:ind w:firstLine="349"/>
        <w:jc w:val="center"/>
        <w:rPr>
          <w:rFonts w:cstheme="minorHAnsi"/>
        </w:rPr>
      </w:pPr>
      <w:r w:rsidRPr="00600EFF">
        <w:rPr>
          <w:rFonts w:cstheme="minorHAnsi"/>
          <w:b/>
          <w:bCs/>
        </w:rPr>
        <w:lastRenderedPageBreak/>
        <w:t>§ 6. REJESTR ZGŁOSZEŃ</w:t>
      </w:r>
    </w:p>
    <w:p w14:paraId="48AD2953" w14:textId="77777777" w:rsidR="0070363A" w:rsidRPr="00600EFF" w:rsidRDefault="0070363A" w:rsidP="0070363A">
      <w:pPr>
        <w:pStyle w:val="ListParagraph"/>
        <w:numPr>
          <w:ilvl w:val="0"/>
          <w:numId w:val="44"/>
        </w:numPr>
        <w:spacing w:line="360" w:lineRule="auto"/>
        <w:ind w:left="709"/>
        <w:jc w:val="both"/>
        <w:rPr>
          <w:rFonts w:cstheme="minorHAnsi"/>
        </w:rPr>
      </w:pPr>
      <w:r w:rsidRPr="00600EFF">
        <w:rPr>
          <w:rFonts w:cstheme="minorHAnsi"/>
        </w:rPr>
        <w:t xml:space="preserve">Osoba upoważniona zobowiązany jest do prowadzenia rejestru każdego Zgłoszenia. </w:t>
      </w:r>
    </w:p>
    <w:p w14:paraId="36172C4B" w14:textId="77777777" w:rsidR="0070363A" w:rsidRPr="00600EFF" w:rsidRDefault="0070363A" w:rsidP="0070363A">
      <w:pPr>
        <w:pStyle w:val="ListParagraph"/>
        <w:numPr>
          <w:ilvl w:val="0"/>
          <w:numId w:val="44"/>
        </w:numPr>
        <w:spacing w:line="360" w:lineRule="auto"/>
        <w:ind w:left="709"/>
        <w:jc w:val="both"/>
        <w:rPr>
          <w:rFonts w:cstheme="minorHAnsi"/>
        </w:rPr>
      </w:pPr>
      <w:r w:rsidRPr="00600EFF">
        <w:rPr>
          <w:rFonts w:cstheme="minorHAnsi"/>
        </w:rPr>
        <w:t>Rejestr zgłoszeń zawiera:</w:t>
      </w:r>
    </w:p>
    <w:p w14:paraId="320B1C9A"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numer zgłoszenia,</w:t>
      </w:r>
    </w:p>
    <w:p w14:paraId="6F55143D"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przedmiot naruszenia,</w:t>
      </w:r>
    </w:p>
    <w:p w14:paraId="2DF64F43"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dane osobowe Sygnalisty oraz osoby, której dotyczy zgłoszenie, niezbędne do identyfikacji tych osób,</w:t>
      </w:r>
    </w:p>
    <w:p w14:paraId="5D4B94C8"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adres do kontaktu Sygnalisty,</w:t>
      </w:r>
    </w:p>
    <w:p w14:paraId="37979586"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datę dokonania Zgłoszenia,</w:t>
      </w:r>
    </w:p>
    <w:p w14:paraId="4D4FF97D"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informację o podjętych działaniach następczych.</w:t>
      </w:r>
    </w:p>
    <w:p w14:paraId="10231903" w14:textId="77777777" w:rsidR="0070363A" w:rsidRPr="00600EFF" w:rsidRDefault="0070363A" w:rsidP="0070363A">
      <w:pPr>
        <w:pStyle w:val="ListParagraph"/>
        <w:numPr>
          <w:ilvl w:val="0"/>
          <w:numId w:val="46"/>
        </w:numPr>
        <w:spacing w:line="360" w:lineRule="auto"/>
        <w:ind w:left="993"/>
        <w:jc w:val="both"/>
        <w:rPr>
          <w:rFonts w:cstheme="minorHAnsi"/>
        </w:rPr>
      </w:pPr>
      <w:r w:rsidRPr="00600EFF">
        <w:rPr>
          <w:rFonts w:cstheme="minorHAnsi"/>
        </w:rPr>
        <w:t>datę zakończenia sprawy.</w:t>
      </w:r>
    </w:p>
    <w:p w14:paraId="2D835172" w14:textId="77777777" w:rsidR="0070363A" w:rsidRPr="00600EFF" w:rsidRDefault="0070363A" w:rsidP="0070363A">
      <w:pPr>
        <w:pStyle w:val="ListParagraph"/>
        <w:numPr>
          <w:ilvl w:val="0"/>
          <w:numId w:val="44"/>
        </w:numPr>
        <w:spacing w:line="360" w:lineRule="auto"/>
        <w:ind w:left="709"/>
        <w:jc w:val="both"/>
        <w:rPr>
          <w:rFonts w:cstheme="minorHAnsi"/>
        </w:rPr>
      </w:pPr>
      <w:r w:rsidRPr="00600EFF">
        <w:rPr>
          <w:rFonts w:cstheme="minorHAnsi"/>
        </w:rPr>
        <w:t xml:space="preserve">Rejestr prowadzony jest z zachowaniem zasad poufności, a wszelkie informacje dotyczące Zgłoszenia przechowywane są w rejestrze przez okres 3 lat po zakończeniu roku kalendarzowego, w którym zakończono działania następcze, lub po zakończeniu postępowań zainicjowanych tymi działaniami. </w:t>
      </w:r>
    </w:p>
    <w:p w14:paraId="21D85596" w14:textId="77777777" w:rsidR="0070363A" w:rsidRPr="00600EFF" w:rsidRDefault="0070363A" w:rsidP="0070363A">
      <w:pPr>
        <w:spacing w:line="360" w:lineRule="auto"/>
        <w:ind w:firstLine="349"/>
        <w:jc w:val="center"/>
        <w:rPr>
          <w:rFonts w:cstheme="minorHAnsi"/>
          <w:b/>
          <w:bCs/>
        </w:rPr>
      </w:pPr>
      <w:r w:rsidRPr="00600EFF">
        <w:rPr>
          <w:rFonts w:cstheme="minorHAnsi"/>
          <w:b/>
          <w:bCs/>
        </w:rPr>
        <w:t>§ 7. ŚRODKI OCHRONY SYGNALISTY I INNYCH OSÓB</w:t>
      </w:r>
    </w:p>
    <w:p w14:paraId="035826CD"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Zakazane jest podejmowanie jakichkolwiek działań bądź groźby czy próby takich działań odwetowych zmierzających do utrudnienia Sygnaliście, osobie powiązanej z Sygnalistą lub osobie, która pomogła Sygnaliście w dokonaniu Zgłoszenia pracy, pogorszenia warunków pracy, dyskryminacji bądź innego rodzaju zachowań będących przejawem niesprawiedliwego traktowania w związku z dokonaniem przez Sygnalistę zgłoszenia w dobrej wierze.</w:t>
      </w:r>
    </w:p>
    <w:p w14:paraId="67D528A3"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W przypadku pracy lub usług świadczonych na podstawie innego stosunku prawnego niż stosunek pracy stanowiącego podstawę świadczenia pracy lub usług lub pełnienia funkcji, lub pełnienia służby § 7 ust. 1 stosuje się odpowiednio, a dokonanie Zgłoszenia lub Ujawnienia publicznego nie może stanowić podstawy działań odwetowych ani próby lub groźby zastosowania działań odwetowych, obejmujących również w szczególności wypowiedzenie umowy, której stroną jest sygnalista, w szczególności dotyczącej sprzedaży lub dostawy towarów lub świadczenia usług, odstąpienie od takiej umowy lub rozwiązanie jej bez wypowiedzenia czy nałożenie obowiązku lub odmowę przyznania, ograniczenie lub odebranie uprawnienia, w szczególności koncesji, zezwolenia lub ulgi.</w:t>
      </w:r>
    </w:p>
    <w:p w14:paraId="7784EED2"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Osoba upoważniona ponosi odpowiedzialność za poufność dokonanego Zgłoszenia oraz jest obowiązana do właściwego reagowania na wszelkie przejawy działań odwetowych oraz ujawnienie tożsamości Sygnalisty.</w:t>
      </w:r>
    </w:p>
    <w:p w14:paraId="41CAE6ED"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Osoby wskazane w § 7. ust. 1 powyżej uprawnione są do niezwłocznego powiadomienia Osoby upoważnionej o działaniach odwetowych skierowanych przeciwko nim oraz ujawnieniu ich tożsamości.</w:t>
      </w:r>
    </w:p>
    <w:p w14:paraId="2009D6A9"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Sygnalista oraz osoby wskazane w § 7. ust. 1 powyżej, wobec których dopuszczono się działań odwetowych mają prawo do:</w:t>
      </w:r>
    </w:p>
    <w:p w14:paraId="347CCC97" w14:textId="77777777" w:rsidR="0070363A" w:rsidRPr="00600EFF" w:rsidRDefault="0070363A" w:rsidP="0070363A">
      <w:pPr>
        <w:pStyle w:val="ListParagraph"/>
        <w:numPr>
          <w:ilvl w:val="0"/>
          <w:numId w:val="50"/>
        </w:numPr>
        <w:spacing w:line="360" w:lineRule="auto"/>
        <w:jc w:val="both"/>
        <w:rPr>
          <w:rFonts w:cstheme="minorHAnsi"/>
        </w:rPr>
      </w:pPr>
      <w:r w:rsidRPr="00600EFF">
        <w:rPr>
          <w:rFonts w:cstheme="minorHAnsi"/>
        </w:rPr>
        <w:lastRenderedPageBreak/>
        <w:t>odszkodowania w wysokości nie niższej niż przeciętne miesięczne wynagrodzenie w gospodarce narodowej w poprzednim roku, ogłoszone do celów emerytalnych w Dzienniku Urzędowym Rzeczypospolitej Polskiej „Monitor Polski” przez Prezesa Głównego Urzędu Statystycznego, lub</w:t>
      </w:r>
    </w:p>
    <w:p w14:paraId="32C1835D" w14:textId="77777777" w:rsidR="0070363A" w:rsidRPr="00600EFF" w:rsidRDefault="0070363A" w:rsidP="0070363A">
      <w:pPr>
        <w:pStyle w:val="ListParagraph"/>
        <w:numPr>
          <w:ilvl w:val="0"/>
          <w:numId w:val="50"/>
        </w:numPr>
        <w:spacing w:line="360" w:lineRule="auto"/>
        <w:jc w:val="both"/>
        <w:rPr>
          <w:rFonts w:cstheme="minorHAnsi"/>
        </w:rPr>
      </w:pPr>
      <w:r w:rsidRPr="00600EFF">
        <w:rPr>
          <w:rFonts w:cstheme="minorHAnsi"/>
        </w:rPr>
        <w:t>zadośćuczynienia.</w:t>
      </w:r>
    </w:p>
    <w:p w14:paraId="44D95DB4" w14:textId="77777777" w:rsidR="0070363A" w:rsidRPr="00600EFF" w:rsidRDefault="0070363A" w:rsidP="0070363A">
      <w:pPr>
        <w:pStyle w:val="ListParagraph"/>
        <w:numPr>
          <w:ilvl w:val="0"/>
          <w:numId w:val="43"/>
        </w:numPr>
        <w:spacing w:line="360" w:lineRule="auto"/>
        <w:jc w:val="both"/>
        <w:rPr>
          <w:rFonts w:cstheme="minorHAnsi"/>
        </w:rPr>
      </w:pPr>
      <w:r w:rsidRPr="00600EFF">
        <w:rPr>
          <w:rFonts w:cstheme="minorHAnsi"/>
        </w:rPr>
        <w:t>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61EC90D7" w14:textId="77777777" w:rsidR="0070363A" w:rsidRPr="00600EFF" w:rsidRDefault="0070363A" w:rsidP="0070363A">
      <w:pPr>
        <w:spacing w:line="360" w:lineRule="auto"/>
        <w:ind w:firstLine="349"/>
        <w:jc w:val="center"/>
        <w:rPr>
          <w:rFonts w:cstheme="minorHAnsi"/>
          <w:b/>
          <w:bCs/>
          <w:highlight w:val="yellow"/>
        </w:rPr>
      </w:pPr>
      <w:r w:rsidRPr="00600EFF">
        <w:rPr>
          <w:rFonts w:cstheme="minorHAnsi"/>
          <w:b/>
          <w:bCs/>
        </w:rPr>
        <w:t>§ 8. ZASADY DOTYCZĄCE PRZETWARZANIA DANYCH OSOBOWYCH</w:t>
      </w:r>
    </w:p>
    <w:p w14:paraId="4B7D68C3" w14:textId="77777777" w:rsidR="0070363A" w:rsidRPr="00600EFF" w:rsidRDefault="0070363A" w:rsidP="0070363A">
      <w:pPr>
        <w:pStyle w:val="ListParagraph"/>
        <w:numPr>
          <w:ilvl w:val="0"/>
          <w:numId w:val="52"/>
        </w:numPr>
        <w:spacing w:line="360" w:lineRule="auto"/>
        <w:ind w:left="709"/>
        <w:jc w:val="both"/>
        <w:rPr>
          <w:rFonts w:cstheme="minorHAnsi"/>
        </w:rPr>
      </w:pPr>
      <w:r w:rsidRPr="00600EFF">
        <w:rPr>
          <w:rFonts w:cstheme="minorHAnsi"/>
        </w:rPr>
        <w:t>Ustalone Kanały zgłoszeń zapewniają kompletność, poufność i integralność danych, w tym ich zabezpieczenie przed dostępem osób nieupoważnionych. Podmiot zapewnia, że kanały te pozwalają na przechowywanie informacji w sposób trwały w celu umożliwienia prowadzenia dalszego postępowania wyjaśniającego, a co za tym idzie uniemożliwiają uzyskanie dostępu do informacji objętych zgłoszeniem osobom nieupoważnionym. Kanały zgłoszeń zapewniają ochronę poufności tożsamości sygnalisty oraz osoby, której dotyczy zgłoszenie.</w:t>
      </w:r>
    </w:p>
    <w:p w14:paraId="2528E6D2" w14:textId="77777777" w:rsidR="0070363A" w:rsidRPr="00600EFF" w:rsidRDefault="0070363A" w:rsidP="0070363A">
      <w:pPr>
        <w:pStyle w:val="ListParagraph"/>
        <w:numPr>
          <w:ilvl w:val="0"/>
          <w:numId w:val="52"/>
        </w:numPr>
        <w:spacing w:line="360" w:lineRule="auto"/>
        <w:ind w:left="709"/>
        <w:jc w:val="both"/>
        <w:rPr>
          <w:rFonts w:cstheme="minorHAnsi"/>
        </w:rPr>
      </w:pPr>
      <w:r w:rsidRPr="00600EFF">
        <w:rPr>
          <w:rFonts w:cstheme="minorHAnsi"/>
        </w:rPr>
        <w:t>Dane osobowe Sygnalisty, pozwalające na ustalenia jego tożsamości, nie podlegają ujawnieniu nieupoważnionym osobom, chyba, że za wyraźną zgodą Sygnalisty.</w:t>
      </w:r>
    </w:p>
    <w:p w14:paraId="2D2BC1EF" w14:textId="77777777" w:rsidR="0070363A" w:rsidRPr="00600EFF" w:rsidRDefault="0070363A" w:rsidP="0070363A">
      <w:pPr>
        <w:pStyle w:val="ListParagraph"/>
        <w:numPr>
          <w:ilvl w:val="0"/>
          <w:numId w:val="52"/>
        </w:numPr>
        <w:spacing w:line="360" w:lineRule="auto"/>
        <w:ind w:left="709"/>
        <w:jc w:val="both"/>
        <w:rPr>
          <w:rFonts w:cstheme="minorHAnsi"/>
        </w:rPr>
      </w:pPr>
      <w:r w:rsidRPr="00600EFF">
        <w:rPr>
          <w:rFonts w:cstheme="minorHAnsi"/>
        </w:rPr>
        <w:t>Dane osobowe przetwarzane są tylko w zakresie niezbędnym do przyjęcia Zgłoszenia lub podjęcia ewentualnego działania następczego. Te dane osobowe, które nie mają znaczenia dla rozpatrywania Zgłoszenia, nie są zbierane, a w razie przypadkowego zebrania są niezwłocznie usuwane, tj. nie później niż w ciągu 14 dni od chwili ustalenia, że nie mają one znaczenia dla sprawy.</w:t>
      </w:r>
    </w:p>
    <w:p w14:paraId="02BBB7C8" w14:textId="77777777" w:rsidR="0070363A" w:rsidRPr="00600EFF" w:rsidRDefault="0070363A" w:rsidP="0070363A">
      <w:pPr>
        <w:pStyle w:val="ListParagraph"/>
        <w:numPr>
          <w:ilvl w:val="0"/>
          <w:numId w:val="52"/>
        </w:numPr>
        <w:spacing w:line="360" w:lineRule="auto"/>
        <w:ind w:left="709"/>
        <w:jc w:val="both"/>
        <w:rPr>
          <w:rFonts w:cstheme="minorHAnsi"/>
        </w:rPr>
      </w:pPr>
      <w:r w:rsidRPr="00600EFF">
        <w:rPr>
          <w:rFonts w:cstheme="minorHAnsi"/>
        </w:rPr>
        <w:t>Dane osobowe usuwane są w terminie 3 lat po zakończeniu roku kalendarzowego, w którym zakończono działania następcze, lub po zakończeniu postępowań zainicjowanych tymi działaniami.</w:t>
      </w:r>
    </w:p>
    <w:p w14:paraId="768631D8" w14:textId="77777777" w:rsidR="0070363A" w:rsidRPr="00600EFF" w:rsidRDefault="0070363A" w:rsidP="0070363A">
      <w:pPr>
        <w:spacing w:line="360" w:lineRule="auto"/>
        <w:ind w:firstLine="349"/>
        <w:jc w:val="center"/>
        <w:rPr>
          <w:rFonts w:cstheme="minorHAnsi"/>
          <w:b/>
          <w:bCs/>
        </w:rPr>
      </w:pPr>
      <w:bookmarkStart w:id="8" w:name="_Hlk170884407"/>
      <w:r w:rsidRPr="00600EFF">
        <w:rPr>
          <w:rFonts w:cstheme="minorHAnsi"/>
          <w:b/>
          <w:bCs/>
        </w:rPr>
        <w:t>§ 9. ODPOWIEDZIALNOŚĆ KARNA</w:t>
      </w:r>
    </w:p>
    <w:p w14:paraId="15332289" w14:textId="77777777" w:rsidR="0070363A" w:rsidRPr="00600EFF" w:rsidRDefault="0070363A" w:rsidP="0070363A">
      <w:pPr>
        <w:pStyle w:val="ListParagraph"/>
        <w:numPr>
          <w:ilvl w:val="6"/>
          <w:numId w:val="47"/>
        </w:numPr>
        <w:spacing w:line="360" w:lineRule="auto"/>
        <w:ind w:left="709"/>
        <w:jc w:val="both"/>
        <w:rPr>
          <w:rFonts w:cstheme="minorHAnsi"/>
        </w:rPr>
      </w:pPr>
      <w:r w:rsidRPr="00600EFF">
        <w:rPr>
          <w:rFonts w:cstheme="minorHAnsi"/>
        </w:rPr>
        <w:t>Kto  uniemożliwia lub istotnie utrudnia innej osobie dokonanie Zgłoszenia podlega grzywnie, karze ograniczenia wolności albo pozbawienia wolności do roku. Jeśli osoba ta stosuje wobec innej osoby przemoc, groźbę bezprawną lub podstęp podlega karze pozbawienia wolności do lat 3.</w:t>
      </w:r>
    </w:p>
    <w:p w14:paraId="65C09DEF" w14:textId="77777777" w:rsidR="0070363A" w:rsidRPr="00600EFF" w:rsidRDefault="0070363A" w:rsidP="0070363A">
      <w:pPr>
        <w:pStyle w:val="ListParagraph"/>
        <w:numPr>
          <w:ilvl w:val="6"/>
          <w:numId w:val="47"/>
        </w:numPr>
        <w:spacing w:line="360" w:lineRule="auto"/>
        <w:ind w:left="709"/>
        <w:jc w:val="both"/>
        <w:rPr>
          <w:rFonts w:cstheme="minorHAnsi"/>
        </w:rPr>
      </w:pPr>
      <w:r w:rsidRPr="00600EFF">
        <w:rPr>
          <w:rFonts w:cstheme="minorHAnsi"/>
        </w:rPr>
        <w:t>Kto podejmuje działania odwetowe wobec Sygnalisty, osoby pomagającej w dokonaniu Zgłoszenia lub osoby powiązanej z Sygnalistą, podlega grzywnie, karze ograniczenia wolności albo pozbawienia wolności do lat 2. Jeśli osoba podejmująca działania odwetowe działa w sposób uporczywy podlega karze pozbawienia wolności do 3 lat.</w:t>
      </w:r>
    </w:p>
    <w:p w14:paraId="2977D48F" w14:textId="77777777" w:rsidR="0070363A" w:rsidRPr="00600EFF" w:rsidRDefault="0070363A" w:rsidP="0070363A">
      <w:pPr>
        <w:pStyle w:val="ListParagraph"/>
        <w:numPr>
          <w:ilvl w:val="6"/>
          <w:numId w:val="47"/>
        </w:numPr>
        <w:spacing w:line="360" w:lineRule="auto"/>
        <w:ind w:left="709"/>
        <w:jc w:val="both"/>
        <w:rPr>
          <w:rFonts w:cstheme="minorHAnsi"/>
        </w:rPr>
      </w:pPr>
      <w:r w:rsidRPr="00600EFF">
        <w:rPr>
          <w:rFonts w:cstheme="minorHAnsi"/>
        </w:rPr>
        <w:t>Kto wbrew przepisom ustawy ujawnia tożsamość Sygnalisty, osoby pomagającej w dokonaniu zgłoszenia lub osoby powiązanej z Sygnalistą, podlega grzywnie, karze ograniczenia wolności albo pozbawienia wolności do roku.</w:t>
      </w:r>
    </w:p>
    <w:p w14:paraId="5EDC16EF" w14:textId="5E3841B2" w:rsidR="0070363A" w:rsidRPr="0070363A" w:rsidRDefault="0070363A" w:rsidP="0070363A">
      <w:pPr>
        <w:pStyle w:val="ListParagraph"/>
        <w:numPr>
          <w:ilvl w:val="6"/>
          <w:numId w:val="47"/>
        </w:numPr>
        <w:spacing w:line="360" w:lineRule="auto"/>
        <w:ind w:left="709"/>
        <w:jc w:val="both"/>
        <w:rPr>
          <w:rFonts w:cstheme="minorHAnsi"/>
        </w:rPr>
      </w:pPr>
      <w:r w:rsidRPr="00600EFF">
        <w:rPr>
          <w:rFonts w:cstheme="minorHAnsi"/>
        </w:rPr>
        <w:lastRenderedPageBreak/>
        <w:t>Kto dokonuje Zgłoszenia lub Ujawnienia publicznego, wiedząc, że do naruszenia prawa nie doszło, podlega grzywnie, karze ograniczenia wolności albo pozbawienia wolności do lat 2.</w:t>
      </w:r>
    </w:p>
    <w:p w14:paraId="3C68B57A" w14:textId="77777777" w:rsidR="0070363A" w:rsidRPr="00600EFF" w:rsidRDefault="0070363A" w:rsidP="0070363A">
      <w:pPr>
        <w:spacing w:line="360" w:lineRule="auto"/>
        <w:ind w:firstLine="349"/>
        <w:jc w:val="center"/>
        <w:rPr>
          <w:rFonts w:cstheme="minorHAnsi"/>
        </w:rPr>
      </w:pPr>
      <w:r w:rsidRPr="00600EFF">
        <w:rPr>
          <w:rFonts w:cstheme="minorHAnsi"/>
          <w:b/>
          <w:bCs/>
        </w:rPr>
        <w:t>§ 10. POSTANOWIENIA KOŃCOWE</w:t>
      </w:r>
    </w:p>
    <w:bookmarkEnd w:id="8"/>
    <w:p w14:paraId="1806DD51" w14:textId="77777777" w:rsidR="0070363A" w:rsidRPr="00600EFF" w:rsidRDefault="0070363A" w:rsidP="0070363A">
      <w:pPr>
        <w:pStyle w:val="ListParagraph"/>
        <w:numPr>
          <w:ilvl w:val="0"/>
          <w:numId w:val="45"/>
        </w:numPr>
        <w:spacing w:line="360" w:lineRule="auto"/>
        <w:jc w:val="both"/>
        <w:rPr>
          <w:rFonts w:cstheme="minorHAnsi"/>
        </w:rPr>
      </w:pPr>
      <w:r w:rsidRPr="00600EFF">
        <w:rPr>
          <w:rFonts w:cstheme="minorHAnsi"/>
        </w:rPr>
        <w:t xml:space="preserve">Nieważne są postanowienia układów zbiorowych pracy, porozumień zbiorowych, wewnętrznych regulaminów i statutów, umów o pracę oraz innych aktów, na podstawie których powstaje stosunek pracy lub które kształtują prawa i obowiązki stron stosunku pracy w zakresie, w jakim bezpośrednio lub pośrednio wyłączają lub ograniczają prawo do dokonania zgłoszenia wewnętrznego, zgłoszenia zewnętrznego lub ujawnienia publicznego bądź przewidują stosowanie środków odwetowych. </w:t>
      </w:r>
    </w:p>
    <w:p w14:paraId="5A6537A7" w14:textId="77777777" w:rsidR="0070363A" w:rsidRPr="00600EFF" w:rsidRDefault="0070363A" w:rsidP="0070363A">
      <w:pPr>
        <w:pStyle w:val="ListParagraph"/>
        <w:numPr>
          <w:ilvl w:val="0"/>
          <w:numId w:val="45"/>
        </w:numPr>
        <w:spacing w:line="360" w:lineRule="auto"/>
        <w:jc w:val="both"/>
        <w:rPr>
          <w:rFonts w:cstheme="minorHAnsi"/>
        </w:rPr>
      </w:pPr>
      <w:r w:rsidRPr="00600EFF">
        <w:rPr>
          <w:rFonts w:cstheme="minorHAnsi"/>
        </w:rPr>
        <w:t>Podmiot udostępnia niniejszą Procedurę do wglądu w miejscu ogólnodostępnym dla Pracowników i osób współpracującym oraz przekazuje informację o Procedurze wraz z rozpoczęciem rekrutacji lub negocjacji poprzedzających zawarcie umowy osobom ubiegającym się o pracę na podstawie stosunku pracy lub innego stosunku prawnego stanowiącego podstawę świadczenia pracy bądź  usług  lub pełnienia funkcji czy służby w Podmiocie.</w:t>
      </w:r>
    </w:p>
    <w:p w14:paraId="7814E997" w14:textId="77777777" w:rsidR="0070363A" w:rsidRPr="00600EFF" w:rsidRDefault="0070363A" w:rsidP="0070363A">
      <w:pPr>
        <w:pStyle w:val="ListParagraph"/>
        <w:numPr>
          <w:ilvl w:val="0"/>
          <w:numId w:val="45"/>
        </w:numPr>
        <w:spacing w:line="360" w:lineRule="auto"/>
        <w:jc w:val="both"/>
        <w:rPr>
          <w:rFonts w:cstheme="minorHAnsi"/>
        </w:rPr>
      </w:pPr>
      <w:r w:rsidRPr="00600EFF">
        <w:rPr>
          <w:rFonts w:cstheme="minorHAnsi"/>
        </w:rPr>
        <w:t xml:space="preserve">Niniejsza Procedura wchodzi w życie po upływie 7 dni od dnia podania jej do wiadomości osób wykonujących pracę w sposób przyjęty w Podmiocie. </w:t>
      </w:r>
    </w:p>
    <w:p w14:paraId="55524396" w14:textId="77777777" w:rsidR="0070363A" w:rsidRPr="00600EFF" w:rsidRDefault="0070363A" w:rsidP="0070363A">
      <w:pPr>
        <w:rPr>
          <w:rFonts w:cstheme="minorHAnsi"/>
        </w:rPr>
      </w:pPr>
      <w:r w:rsidRPr="00600EFF">
        <w:rPr>
          <w:rFonts w:cstheme="minorHAnsi"/>
        </w:rPr>
        <w:br w:type="page"/>
      </w:r>
    </w:p>
    <w:p w14:paraId="4FF7A38A" w14:textId="77777777" w:rsidR="0070363A" w:rsidRPr="00600EFF" w:rsidRDefault="0070363A" w:rsidP="0070363A">
      <w:pPr>
        <w:spacing w:after="0" w:line="360" w:lineRule="auto"/>
        <w:jc w:val="center"/>
        <w:rPr>
          <w:rFonts w:eastAsia="Times New Roman" w:cstheme="minorHAnsi"/>
          <w:b/>
          <w:bCs/>
          <w:color w:val="000000"/>
          <w:lang w:eastAsia="pl-PL"/>
        </w:rPr>
      </w:pPr>
      <w:r w:rsidRPr="00600EFF">
        <w:rPr>
          <w:rFonts w:eastAsia="Times New Roman" w:cstheme="minorHAnsi"/>
          <w:b/>
          <w:bCs/>
          <w:color w:val="000000"/>
          <w:lang w:eastAsia="pl-PL"/>
        </w:rPr>
        <w:lastRenderedPageBreak/>
        <w:t>KLAUZULA INFORMACYJNA</w:t>
      </w:r>
    </w:p>
    <w:p w14:paraId="6A49BB00" w14:textId="77777777" w:rsidR="0070363A" w:rsidRPr="00600EFF" w:rsidRDefault="0070363A" w:rsidP="0070363A">
      <w:pPr>
        <w:spacing w:after="0" w:line="360" w:lineRule="auto"/>
        <w:jc w:val="center"/>
        <w:rPr>
          <w:rFonts w:eastAsia="Times New Roman" w:cstheme="minorHAnsi"/>
          <w:b/>
          <w:bCs/>
          <w:color w:val="000000"/>
          <w:lang w:eastAsia="pl-PL"/>
        </w:rPr>
      </w:pPr>
      <w:r w:rsidRPr="00600EFF">
        <w:rPr>
          <w:rFonts w:eastAsia="Times New Roman" w:cstheme="minorHAnsi"/>
          <w:b/>
          <w:bCs/>
          <w:color w:val="000000"/>
          <w:lang w:eastAsia="pl-PL"/>
        </w:rPr>
        <w:t xml:space="preserve">DOT. PRZETWARZANIA DANYCH OSOBOWYCH </w:t>
      </w:r>
    </w:p>
    <w:p w14:paraId="2997CEFC" w14:textId="77777777" w:rsidR="0070363A" w:rsidRPr="00600EFF" w:rsidRDefault="0070363A" w:rsidP="0070363A">
      <w:pPr>
        <w:spacing w:after="0" w:line="360" w:lineRule="auto"/>
        <w:jc w:val="center"/>
        <w:rPr>
          <w:rFonts w:eastAsia="Times New Roman" w:cstheme="minorHAnsi"/>
          <w:b/>
          <w:bCs/>
          <w:color w:val="000000"/>
          <w:lang w:eastAsia="pl-PL"/>
        </w:rPr>
      </w:pPr>
    </w:p>
    <w:p w14:paraId="3FEC672C" w14:textId="77777777" w:rsidR="0070363A" w:rsidRPr="00600EFF" w:rsidRDefault="0070363A" w:rsidP="0070363A">
      <w:pPr>
        <w:spacing w:before="120" w:after="120" w:line="360" w:lineRule="auto"/>
        <w:jc w:val="both"/>
        <w:rPr>
          <w:rFonts w:eastAsia="Times New Roman" w:cstheme="minorHAnsi"/>
          <w:color w:val="000000"/>
          <w:lang w:eastAsia="pl-PL"/>
        </w:rPr>
      </w:pPr>
      <w:r w:rsidRPr="00600EFF">
        <w:rPr>
          <w:rFonts w:eastAsia="Times New Roman" w:cstheme="minorHAnsi"/>
          <w:color w:val="000000"/>
          <w:lang w:eastAsia="pl-PL"/>
        </w:rPr>
        <w:t>Na mocy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6B3EE3B7" w14:textId="77777777" w:rsidR="0070363A" w:rsidRPr="00600EFF" w:rsidRDefault="0070363A" w:rsidP="0070363A">
      <w:pPr>
        <w:spacing w:before="120" w:after="120" w:line="360" w:lineRule="auto"/>
        <w:contextualSpacing/>
        <w:jc w:val="center"/>
        <w:rPr>
          <w:rFonts w:eastAsia="Times New Roman" w:cstheme="minorHAnsi"/>
          <w:b/>
          <w:bCs/>
          <w:color w:val="000000"/>
          <w:lang w:eastAsia="pl-PL"/>
        </w:rPr>
      </w:pPr>
      <w:r w:rsidRPr="00600EFF">
        <w:rPr>
          <w:rFonts w:eastAsia="Times New Roman" w:cstheme="minorHAnsi"/>
          <w:b/>
          <w:bCs/>
          <w:color w:val="000000"/>
          <w:lang w:eastAsia="pl-PL"/>
        </w:rPr>
        <w:t>ADMINISTRATOR</w:t>
      </w:r>
    </w:p>
    <w:p w14:paraId="66B2D06D" w14:textId="77777777" w:rsidR="0070363A" w:rsidRPr="00600EFF" w:rsidRDefault="0070363A" w:rsidP="0070363A">
      <w:pPr>
        <w:numPr>
          <w:ilvl w:val="0"/>
          <w:numId w:val="53"/>
        </w:numPr>
        <w:tabs>
          <w:tab w:val="num" w:pos="426"/>
        </w:tabs>
        <w:spacing w:line="360" w:lineRule="auto"/>
        <w:contextualSpacing/>
        <w:jc w:val="both"/>
        <w:rPr>
          <w:rFonts w:eastAsia="Times New Roman" w:cstheme="minorHAnsi"/>
          <w:color w:val="000000"/>
          <w:lang w:eastAsia="pl-PL"/>
        </w:rPr>
      </w:pPr>
      <w:r w:rsidRPr="00600EFF">
        <w:rPr>
          <w:rFonts w:eastAsia="Times New Roman" w:cstheme="minorHAnsi"/>
          <w:color w:val="000000"/>
          <w:lang w:eastAsia="pl-PL"/>
        </w:rPr>
        <w:t>Administratorem Państwa danych osobowych jest Finejas Poland Sp. z o.o. oddział w Białymstoku, ul. Warszawska 6/32, 15-063 Białystok, NIP 9662138529, REGON:381368762-00010</w:t>
      </w:r>
      <w:r w:rsidRPr="00600EFF">
        <w:rPr>
          <w:rFonts w:eastAsia="Times New Roman" w:cstheme="minorHAnsi"/>
          <w:b/>
          <w:bCs/>
          <w:color w:val="000000"/>
          <w:lang w:eastAsia="pl-PL"/>
        </w:rPr>
        <w:t xml:space="preserve"> </w:t>
      </w:r>
      <w:r w:rsidRPr="00600EFF">
        <w:rPr>
          <w:rFonts w:eastAsia="Times New Roman" w:cstheme="minorHAnsi"/>
          <w:color w:val="000000"/>
          <w:lang w:eastAsia="pl-PL"/>
        </w:rPr>
        <w:t xml:space="preserve">(dalej </w:t>
      </w:r>
      <w:r w:rsidRPr="00600EFF">
        <w:rPr>
          <w:rFonts w:eastAsia="Times New Roman" w:cstheme="minorHAnsi"/>
          <w:i/>
          <w:iCs/>
          <w:color w:val="000000"/>
          <w:lang w:eastAsia="pl-PL"/>
        </w:rPr>
        <w:t>Administrator</w:t>
      </w:r>
      <w:r w:rsidRPr="00600EFF">
        <w:rPr>
          <w:rFonts w:eastAsia="Times New Roman" w:cstheme="minorHAnsi"/>
          <w:color w:val="000000"/>
          <w:lang w:eastAsia="pl-PL"/>
        </w:rPr>
        <w:t>),</w:t>
      </w:r>
    </w:p>
    <w:p w14:paraId="74F2C3A1" w14:textId="77777777" w:rsidR="0070363A" w:rsidRPr="00600EFF" w:rsidRDefault="0070363A" w:rsidP="0070363A">
      <w:pPr>
        <w:numPr>
          <w:ilvl w:val="0"/>
          <w:numId w:val="53"/>
        </w:numPr>
        <w:tabs>
          <w:tab w:val="num" w:pos="426"/>
        </w:tabs>
        <w:spacing w:before="120" w:after="120" w:line="360" w:lineRule="auto"/>
        <w:jc w:val="both"/>
        <w:rPr>
          <w:rFonts w:eastAsia="Times New Roman" w:cstheme="minorHAnsi"/>
          <w:color w:val="000000"/>
          <w:lang w:eastAsia="pl-PL"/>
        </w:rPr>
      </w:pPr>
      <w:r w:rsidRPr="00600EFF">
        <w:rPr>
          <w:rFonts w:eastAsia="Times New Roman" w:cstheme="minorHAnsi"/>
          <w:color w:val="000000"/>
          <w:lang w:eastAsia="pl-PL"/>
        </w:rPr>
        <w:t>W celu uzyskania informacji w zakresie przetwarzania oraz ochrony danych osobowych, mogą się Państwo skontaktować się z Administratorem w następujący sposób:</w:t>
      </w:r>
    </w:p>
    <w:p w14:paraId="2047F61F" w14:textId="3E282FD4" w:rsidR="0070363A" w:rsidRPr="00600EFF" w:rsidRDefault="0070363A" w:rsidP="0070363A">
      <w:pPr>
        <w:numPr>
          <w:ilvl w:val="0"/>
          <w:numId w:val="57"/>
        </w:numPr>
        <w:spacing w:before="120" w:after="12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listownie na adres:</w:t>
      </w:r>
      <w:r w:rsidRPr="00600EFF">
        <w:rPr>
          <w:rFonts w:cstheme="minorHAnsi"/>
        </w:rPr>
        <w:t xml:space="preserve"> </w:t>
      </w:r>
      <w:r w:rsidR="006D4148">
        <w:rPr>
          <w:rFonts w:eastAsia="Times New Roman" w:cstheme="minorHAnsi"/>
          <w:color w:val="000000"/>
          <w:lang w:eastAsia="pl-PL"/>
        </w:rPr>
        <w:t>ul. Kazimierza Michalczyka 5 53-633 Wrocław</w:t>
      </w:r>
    </w:p>
    <w:p w14:paraId="03B9B5D8" w14:textId="77777777" w:rsidR="0070363A" w:rsidRPr="00600EFF" w:rsidRDefault="0070363A" w:rsidP="0070363A">
      <w:pPr>
        <w:numPr>
          <w:ilvl w:val="0"/>
          <w:numId w:val="57"/>
        </w:numPr>
        <w:spacing w:before="120" w:after="120" w:line="360" w:lineRule="auto"/>
        <w:ind w:left="1134"/>
        <w:contextualSpacing/>
        <w:jc w:val="both"/>
        <w:rPr>
          <w:rFonts w:eastAsia="Times New Roman" w:cstheme="minorHAnsi"/>
          <w:color w:val="000000"/>
          <w:lang w:val="pl-PL" w:eastAsia="pl-PL"/>
        </w:rPr>
      </w:pPr>
      <w:r w:rsidRPr="00600EFF">
        <w:rPr>
          <w:rFonts w:eastAsia="Times New Roman" w:cstheme="minorHAnsi"/>
          <w:color w:val="000000"/>
          <w:lang w:val="pl-PL" w:eastAsia="pl-PL"/>
        </w:rPr>
        <w:t xml:space="preserve">przez e-mail: </w:t>
      </w:r>
      <w:r w:rsidRPr="00600EFF">
        <w:rPr>
          <w:rFonts w:cstheme="minorHAnsi"/>
          <w:color w:val="000000"/>
          <w:lang w:val="pl-PL"/>
        </w:rPr>
        <w:t>justyna.ginter@</w:t>
      </w:r>
      <w:r>
        <w:rPr>
          <w:rFonts w:cstheme="minorHAnsi"/>
          <w:color w:val="000000"/>
        </w:rPr>
        <w:t>finejas.pl</w:t>
      </w:r>
    </w:p>
    <w:p w14:paraId="0681C3E3" w14:textId="77777777" w:rsidR="0070363A" w:rsidRPr="00600EFF" w:rsidRDefault="0070363A" w:rsidP="0070363A">
      <w:pPr>
        <w:numPr>
          <w:ilvl w:val="0"/>
          <w:numId w:val="57"/>
        </w:numPr>
        <w:spacing w:before="120" w:after="120" w:line="360" w:lineRule="auto"/>
        <w:ind w:left="1134"/>
        <w:contextualSpacing/>
        <w:jc w:val="both"/>
        <w:rPr>
          <w:rFonts w:eastAsia="Times New Roman" w:cstheme="minorHAnsi"/>
          <w:color w:val="000000"/>
          <w:u w:val="single"/>
          <w:lang w:eastAsia="pl-PL"/>
        </w:rPr>
      </w:pPr>
      <w:r w:rsidRPr="00600EFF">
        <w:rPr>
          <w:rFonts w:eastAsia="Times New Roman" w:cstheme="minorHAnsi"/>
          <w:color w:val="000000"/>
          <w:lang w:eastAsia="pl-PL"/>
        </w:rPr>
        <w:t xml:space="preserve">telefonicznie: </w:t>
      </w:r>
      <w:r w:rsidRPr="00600EFF">
        <w:rPr>
          <w:rFonts w:eastAsia="Times New Roman" w:cstheme="minorHAnsi"/>
          <w:color w:val="000000"/>
          <w:u w:val="single"/>
          <w:lang w:eastAsia="pl-PL"/>
        </w:rPr>
        <w:t>+48 572 097 854</w:t>
      </w:r>
    </w:p>
    <w:p w14:paraId="3B449995" w14:textId="77777777" w:rsidR="0070363A" w:rsidRPr="00600EFF" w:rsidRDefault="0070363A" w:rsidP="0070363A">
      <w:pPr>
        <w:spacing w:line="360" w:lineRule="auto"/>
        <w:contextualSpacing/>
        <w:jc w:val="center"/>
        <w:rPr>
          <w:rFonts w:eastAsia="Times New Roman" w:cstheme="minorHAnsi"/>
          <w:b/>
          <w:bCs/>
          <w:color w:val="000000"/>
          <w:lang w:eastAsia="pl-PL"/>
        </w:rPr>
      </w:pPr>
      <w:r w:rsidRPr="00600EFF">
        <w:rPr>
          <w:rFonts w:eastAsia="Times New Roman" w:cstheme="minorHAnsi"/>
          <w:b/>
          <w:bCs/>
          <w:color w:val="000000"/>
          <w:lang w:eastAsia="pl-PL"/>
        </w:rPr>
        <w:t>CEL I PODSTAWA PRZETWARZANIA</w:t>
      </w:r>
    </w:p>
    <w:p w14:paraId="51C4B2DC" w14:textId="77777777" w:rsidR="0070363A" w:rsidRPr="00600EFF" w:rsidRDefault="0070363A" w:rsidP="0070363A">
      <w:pPr>
        <w:numPr>
          <w:ilvl w:val="0"/>
          <w:numId w:val="53"/>
        </w:numPr>
        <w:spacing w:line="360" w:lineRule="auto"/>
        <w:contextualSpacing/>
        <w:jc w:val="both"/>
        <w:rPr>
          <w:rFonts w:eastAsia="Times New Roman" w:cstheme="minorHAnsi"/>
          <w:color w:val="000000"/>
          <w:lang w:eastAsia="pl-PL"/>
        </w:rPr>
      </w:pPr>
      <w:r w:rsidRPr="00600EFF">
        <w:rPr>
          <w:rFonts w:eastAsia="Times New Roman" w:cstheme="minorHAnsi"/>
          <w:color w:val="000000"/>
          <w:lang w:eastAsia="pl-PL"/>
        </w:rPr>
        <w:t>Podane dane będą przetwarzane w celu wypełnienia obowiązków wskazanych ustawą z dnia 14 czerwca 2024 o ochronie sygnalistów (DZ. U. 2024 poz. 928- dalej Ustawa), a co za tym idzie w szczególności w celu przyjęcia zgłoszenia informacji o naruszeniach prawa oraz podjęcia działań następczych.</w:t>
      </w:r>
    </w:p>
    <w:p w14:paraId="020E7193" w14:textId="77777777" w:rsidR="0070363A" w:rsidRPr="00600EFF" w:rsidRDefault="0070363A" w:rsidP="0070363A">
      <w:pPr>
        <w:numPr>
          <w:ilvl w:val="0"/>
          <w:numId w:val="53"/>
        </w:numPr>
        <w:spacing w:before="120" w:after="120" w:line="360" w:lineRule="auto"/>
        <w:jc w:val="both"/>
        <w:rPr>
          <w:rFonts w:eastAsia="Times New Roman" w:cstheme="minorHAnsi"/>
          <w:color w:val="000000"/>
          <w:lang w:eastAsia="pl-PL"/>
        </w:rPr>
      </w:pPr>
      <w:r w:rsidRPr="00600EFF">
        <w:rPr>
          <w:rFonts w:eastAsia="Times New Roman" w:cstheme="minorHAnsi"/>
          <w:color w:val="000000"/>
          <w:lang w:eastAsia="pl-PL"/>
        </w:rPr>
        <w:t>Podstawę przetwarzania danych osobowych stanowią:</w:t>
      </w:r>
    </w:p>
    <w:p w14:paraId="7F27CB19" w14:textId="77777777" w:rsidR="0070363A" w:rsidRPr="00600EFF" w:rsidRDefault="0070363A" w:rsidP="0070363A">
      <w:pPr>
        <w:numPr>
          <w:ilvl w:val="0"/>
          <w:numId w:val="54"/>
        </w:numPr>
        <w:spacing w:after="0" w:line="360" w:lineRule="auto"/>
        <w:ind w:left="1134"/>
        <w:jc w:val="both"/>
        <w:rPr>
          <w:rFonts w:eastAsia="Times New Roman" w:cstheme="minorHAnsi"/>
          <w:color w:val="000000"/>
          <w:lang w:eastAsia="pl-PL"/>
        </w:rPr>
      </w:pPr>
      <w:r w:rsidRPr="00600EFF">
        <w:rPr>
          <w:rFonts w:eastAsia="Times New Roman" w:cstheme="minorHAnsi"/>
          <w:color w:val="000000"/>
          <w:lang w:eastAsia="pl-PL"/>
        </w:rPr>
        <w:t>obowiązek prawny wynikający z ustawy z dnia 14 czerwca o ochronie sygnalistów (DZ. U. 2024 poz. 928) - art. 6 ust. 1 lit. c RODO,</w:t>
      </w:r>
    </w:p>
    <w:p w14:paraId="34A76EDA" w14:textId="77777777" w:rsidR="0070363A" w:rsidRPr="00600EFF" w:rsidRDefault="0070363A" w:rsidP="0070363A">
      <w:pPr>
        <w:numPr>
          <w:ilvl w:val="0"/>
          <w:numId w:val="54"/>
        </w:numPr>
        <w:spacing w:after="0" w:line="360" w:lineRule="auto"/>
        <w:ind w:left="1134"/>
        <w:jc w:val="both"/>
        <w:rPr>
          <w:rFonts w:eastAsia="Times New Roman" w:cstheme="minorHAnsi"/>
          <w:color w:val="000000"/>
          <w:lang w:eastAsia="pl-PL"/>
        </w:rPr>
      </w:pPr>
      <w:r w:rsidRPr="00600EFF">
        <w:rPr>
          <w:rFonts w:eastAsia="Times New Roman" w:cstheme="minorHAnsi"/>
          <w:color w:val="000000"/>
          <w:lang w:eastAsia="pl-PL"/>
        </w:rPr>
        <w:t>zgoda w przypadku ujawnienia tożsamości sygnalisty- art. 6 ust. 1 lit. a RODO,</w:t>
      </w:r>
    </w:p>
    <w:p w14:paraId="165479D7" w14:textId="77777777" w:rsidR="0070363A" w:rsidRPr="00600EFF" w:rsidRDefault="0070363A" w:rsidP="0070363A">
      <w:pPr>
        <w:numPr>
          <w:ilvl w:val="0"/>
          <w:numId w:val="54"/>
        </w:numPr>
        <w:spacing w:before="240" w:after="0" w:line="360" w:lineRule="auto"/>
        <w:ind w:left="1134"/>
        <w:jc w:val="both"/>
        <w:rPr>
          <w:rFonts w:eastAsia="Times New Roman" w:cstheme="minorHAnsi"/>
          <w:color w:val="000000"/>
          <w:lang w:eastAsia="pl-PL"/>
        </w:rPr>
      </w:pPr>
      <w:r w:rsidRPr="00600EFF">
        <w:rPr>
          <w:rFonts w:eastAsia="Times New Roman" w:cstheme="minorHAnsi"/>
          <w:color w:val="000000"/>
          <w:lang w:eastAsia="pl-PL"/>
        </w:rPr>
        <w:t xml:space="preserve">uzasadniony interes Administratora lub osoby trzeciej, której dane są ujawniane, jakim jest konieczność weryfikacji otrzymanego zgłoszenia i przeprowadzenie postępowania wyjaśniającego - art. 6 ust. 1 lit. f RODO. </w:t>
      </w:r>
    </w:p>
    <w:p w14:paraId="41D2DC03" w14:textId="77777777" w:rsidR="0070363A" w:rsidRPr="00600EFF" w:rsidRDefault="0070363A" w:rsidP="0070363A">
      <w:pPr>
        <w:spacing w:before="240" w:line="360" w:lineRule="auto"/>
        <w:contextualSpacing/>
        <w:jc w:val="center"/>
        <w:rPr>
          <w:rFonts w:eastAsia="Times New Roman" w:cstheme="minorHAnsi"/>
          <w:b/>
          <w:bCs/>
          <w:color w:val="000000"/>
          <w:lang w:eastAsia="pl-PL"/>
        </w:rPr>
      </w:pPr>
      <w:r w:rsidRPr="00600EFF">
        <w:rPr>
          <w:rFonts w:eastAsia="Times New Roman" w:cstheme="minorHAnsi"/>
          <w:b/>
          <w:bCs/>
          <w:color w:val="000000"/>
          <w:lang w:eastAsia="pl-PL"/>
        </w:rPr>
        <w:t>PRAWA ZWIĄZANE Z PRZETWARZANIEM DANYCH OSOBOWYCH</w:t>
      </w:r>
    </w:p>
    <w:p w14:paraId="514F2DB0" w14:textId="77777777" w:rsidR="0070363A" w:rsidRPr="00600EFF" w:rsidRDefault="0070363A" w:rsidP="0070363A">
      <w:pPr>
        <w:numPr>
          <w:ilvl w:val="0"/>
          <w:numId w:val="53"/>
        </w:numPr>
        <w:spacing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Przysługują Państwu następujące prawa związane z przetwarzaniem danych osobowych:</w:t>
      </w:r>
    </w:p>
    <w:p w14:paraId="6598A788" w14:textId="77777777" w:rsidR="0070363A" w:rsidRPr="00600EFF" w:rsidRDefault="0070363A" w:rsidP="0070363A">
      <w:pPr>
        <w:numPr>
          <w:ilvl w:val="0"/>
          <w:numId w:val="55"/>
        </w:numPr>
        <w:spacing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 xml:space="preserve">prawo dostępu do treści danych, </w:t>
      </w:r>
    </w:p>
    <w:p w14:paraId="2C5FEA25" w14:textId="77777777" w:rsidR="0070363A" w:rsidRPr="00600EFF" w:rsidRDefault="0070363A" w:rsidP="0070363A">
      <w:pPr>
        <w:numPr>
          <w:ilvl w:val="0"/>
          <w:numId w:val="55"/>
        </w:numPr>
        <w:spacing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 xml:space="preserve">prawo do sprostowania lub uzupełnienia danych, </w:t>
      </w:r>
    </w:p>
    <w:p w14:paraId="76A649D5" w14:textId="77777777" w:rsidR="0070363A" w:rsidRPr="00600EFF" w:rsidRDefault="0070363A" w:rsidP="0070363A">
      <w:pPr>
        <w:numPr>
          <w:ilvl w:val="0"/>
          <w:numId w:val="55"/>
        </w:numPr>
        <w:spacing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 xml:space="preserve">prawo do wycofania zgody na ujawnienie tożsamości, </w:t>
      </w:r>
    </w:p>
    <w:p w14:paraId="646B59A7" w14:textId="77777777" w:rsidR="0070363A" w:rsidRPr="00600EFF" w:rsidRDefault="0070363A" w:rsidP="0070363A">
      <w:pPr>
        <w:numPr>
          <w:ilvl w:val="0"/>
          <w:numId w:val="55"/>
        </w:numPr>
        <w:spacing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prawo do usunięcia danych,</w:t>
      </w:r>
    </w:p>
    <w:p w14:paraId="055B3D74" w14:textId="77777777" w:rsidR="0070363A" w:rsidRPr="00600EFF" w:rsidRDefault="0070363A" w:rsidP="0070363A">
      <w:pPr>
        <w:numPr>
          <w:ilvl w:val="0"/>
          <w:numId w:val="55"/>
        </w:numPr>
        <w:spacing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lastRenderedPageBreak/>
        <w:t>prawo do wniesienia sprzeciwu, a na czas rozpatrywania zgłoszenia prawo do ograniczenia przetwarzania danych,</w:t>
      </w:r>
    </w:p>
    <w:p w14:paraId="18514031" w14:textId="77777777" w:rsidR="0070363A" w:rsidRPr="00600EFF" w:rsidRDefault="0070363A" w:rsidP="0070363A">
      <w:pPr>
        <w:numPr>
          <w:ilvl w:val="0"/>
          <w:numId w:val="55"/>
        </w:numPr>
        <w:spacing w:before="240" w:after="0" w:line="360" w:lineRule="auto"/>
        <w:ind w:left="1134"/>
        <w:contextualSpacing/>
        <w:jc w:val="both"/>
        <w:rPr>
          <w:rFonts w:eastAsia="Times New Roman" w:cstheme="minorHAnsi"/>
          <w:color w:val="000000"/>
          <w:lang w:eastAsia="pl-PL"/>
        </w:rPr>
      </w:pPr>
      <w:r w:rsidRPr="00600EFF">
        <w:rPr>
          <w:rFonts w:eastAsia="Times New Roman" w:cstheme="minorHAnsi"/>
          <w:color w:val="000000"/>
          <w:lang w:eastAsia="pl-PL"/>
        </w:rPr>
        <w:t>prawo do wniesienia skargi do Prezesa UODO.</w:t>
      </w:r>
    </w:p>
    <w:p w14:paraId="0018625C" w14:textId="77777777" w:rsidR="0070363A" w:rsidRPr="00600EFF" w:rsidRDefault="0070363A" w:rsidP="0070363A">
      <w:pPr>
        <w:spacing w:before="240" w:after="0" w:line="360" w:lineRule="auto"/>
        <w:contextualSpacing/>
        <w:jc w:val="center"/>
        <w:rPr>
          <w:rFonts w:eastAsia="Times New Roman" w:cstheme="minorHAnsi"/>
          <w:b/>
          <w:bCs/>
          <w:color w:val="000000"/>
          <w:lang w:eastAsia="pl-PL"/>
        </w:rPr>
      </w:pPr>
      <w:r w:rsidRPr="00600EFF">
        <w:rPr>
          <w:rFonts w:eastAsia="Times New Roman" w:cstheme="minorHAnsi"/>
          <w:b/>
          <w:bCs/>
          <w:color w:val="000000"/>
          <w:lang w:eastAsia="pl-PL"/>
        </w:rPr>
        <w:t>ZASADY PRZETWARZANIA DANYCH OSOBOWYCH</w:t>
      </w:r>
    </w:p>
    <w:p w14:paraId="42820CA2" w14:textId="77777777" w:rsidR="0070363A" w:rsidRPr="00600EFF" w:rsidRDefault="0070363A" w:rsidP="0070363A">
      <w:pPr>
        <w:numPr>
          <w:ilvl w:val="0"/>
          <w:numId w:val="53"/>
        </w:numPr>
        <w:spacing w:before="240" w:line="360" w:lineRule="auto"/>
        <w:contextualSpacing/>
        <w:jc w:val="both"/>
        <w:rPr>
          <w:rFonts w:eastAsia="Times New Roman" w:cstheme="minorHAnsi"/>
          <w:color w:val="000000"/>
          <w:lang w:eastAsia="pl-PL"/>
        </w:rPr>
      </w:pPr>
      <w:r w:rsidRPr="00600EFF">
        <w:rPr>
          <w:rFonts w:eastAsia="Times New Roman" w:cstheme="minorHAnsi"/>
          <w:color w:val="000000"/>
          <w:lang w:eastAsia="pl-PL"/>
        </w:rPr>
        <w:t>Podanie danych osobowych jest dobrowolne, zgłoszenie może być dokonane anonimowo.</w:t>
      </w:r>
    </w:p>
    <w:p w14:paraId="122B78F3" w14:textId="77777777" w:rsidR="0070363A" w:rsidRPr="00600EFF" w:rsidRDefault="0070363A" w:rsidP="0070363A">
      <w:pPr>
        <w:numPr>
          <w:ilvl w:val="0"/>
          <w:numId w:val="53"/>
        </w:numPr>
        <w:spacing w:after="0"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Dane osobowe nie będą udostępniane podmiotom zewnętrznym z wyjątkiem podmiotów upoważnionych do przyjmowania zgłoszeń wewnętrznych oraz podejmowania działań następczych, w tym weryfikacji zgłoszenia i dalszej komunikacji, a także do dostawcy platformy do obsługi zgłoszeń oraz innych podmiotów przetwarzających dane na podstawie zawartej z Administratorem umowy powierzenia przetwarzania danych osobowych. Dane osobowe mogą być udostępnianie również podmiotów upoważnionym do odbioru tych danych na podstawie innych przepisów prawa, w szczególności organom władzy publicznej.</w:t>
      </w:r>
    </w:p>
    <w:p w14:paraId="28CBB814" w14:textId="77777777" w:rsidR="0070363A" w:rsidRPr="00600EFF" w:rsidRDefault="0070363A" w:rsidP="0070363A">
      <w:pPr>
        <w:numPr>
          <w:ilvl w:val="0"/>
          <w:numId w:val="53"/>
        </w:numPr>
        <w:spacing w:after="0"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Dane osobowe oraz pozostałe informacje ujawnione w rejestrze zgłoszeń wewnętrznych przechowywane będą przez okres 3 lat po zakończeniu roku kalendarzowego, w którym zakończono działania następcze, lub po zakończeniu postępowań zainicjowanych tymi działaniami.</w:t>
      </w:r>
    </w:p>
    <w:p w14:paraId="2A619AC7" w14:textId="77777777" w:rsidR="0070363A" w:rsidRPr="00600EFF" w:rsidRDefault="0070363A" w:rsidP="0070363A">
      <w:pPr>
        <w:numPr>
          <w:ilvl w:val="0"/>
          <w:numId w:val="53"/>
        </w:numPr>
        <w:spacing w:before="240" w:after="0"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Dane osobowe przetwarzane w związku z przyjęciem zgłoszenia lub podjęciem działań następczych oraz dokumenty związane z tym zgłoszeniem przechowywane będą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7D7B9104" w14:textId="77777777" w:rsidR="0070363A" w:rsidRPr="00600EFF" w:rsidRDefault="0070363A" w:rsidP="0070363A">
      <w:pPr>
        <w:spacing w:before="240" w:after="0" w:line="360" w:lineRule="auto"/>
        <w:contextualSpacing/>
        <w:jc w:val="center"/>
        <w:rPr>
          <w:rFonts w:eastAsia="Times New Roman" w:cstheme="minorHAnsi"/>
          <w:b/>
          <w:bCs/>
          <w:color w:val="000000"/>
          <w:lang w:eastAsia="pl-PL"/>
        </w:rPr>
      </w:pPr>
      <w:r w:rsidRPr="00600EFF">
        <w:rPr>
          <w:rFonts w:eastAsia="Times New Roman" w:cstheme="minorHAnsi"/>
          <w:b/>
          <w:bCs/>
          <w:color w:val="000000"/>
          <w:lang w:eastAsia="pl-PL"/>
        </w:rPr>
        <w:t>PROFILOWANIE I PRZEKAZYWANIE DANYCH OSOBOWYCH</w:t>
      </w:r>
    </w:p>
    <w:p w14:paraId="087746A9" w14:textId="77777777" w:rsidR="0070363A" w:rsidRPr="00600EFF" w:rsidRDefault="0070363A" w:rsidP="0070363A">
      <w:pPr>
        <w:numPr>
          <w:ilvl w:val="0"/>
          <w:numId w:val="53"/>
        </w:numPr>
        <w:spacing w:before="240" w:after="0"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Dane osobowe zebrane w celu wykonania obowiązku ustawowego nie będą poddane zautomatyzowanemu podejmowaniu decyzji, w tym profilowaniu.</w:t>
      </w:r>
    </w:p>
    <w:p w14:paraId="62DE6CC7" w14:textId="77777777" w:rsidR="0070363A" w:rsidRPr="00600EFF" w:rsidRDefault="0070363A" w:rsidP="0070363A">
      <w:pPr>
        <w:numPr>
          <w:ilvl w:val="0"/>
          <w:numId w:val="53"/>
        </w:numPr>
        <w:spacing w:after="0" w:line="360" w:lineRule="auto"/>
        <w:ind w:hanging="436"/>
        <w:contextualSpacing/>
        <w:jc w:val="both"/>
        <w:rPr>
          <w:rFonts w:eastAsia="Times New Roman" w:cstheme="minorHAnsi"/>
          <w:color w:val="000000"/>
          <w:lang w:eastAsia="pl-PL"/>
        </w:rPr>
      </w:pPr>
      <w:r w:rsidRPr="00600EFF">
        <w:rPr>
          <w:rFonts w:eastAsia="Times New Roman" w:cstheme="minorHAnsi"/>
          <w:color w:val="000000"/>
          <w:lang w:eastAsia="pl-PL"/>
        </w:rPr>
        <w:t>Administrator nie będzie przekazywał Państwa danych osobowych odbiorcom spoza EOG (państwo trzecie lub organizacja międzynarodowa).</w:t>
      </w:r>
    </w:p>
    <w:p w14:paraId="09FFEEA8" w14:textId="77777777" w:rsidR="0070363A" w:rsidRPr="00600EFF" w:rsidRDefault="0070363A" w:rsidP="0070363A">
      <w:pPr>
        <w:spacing w:after="0" w:line="360" w:lineRule="auto"/>
        <w:jc w:val="center"/>
        <w:rPr>
          <w:rFonts w:eastAsia="Times New Roman" w:cstheme="minorHAnsi"/>
          <w:color w:val="000000"/>
          <w:lang w:eastAsia="pl-PL"/>
        </w:rPr>
      </w:pPr>
    </w:p>
    <w:p w14:paraId="4F6E324B" w14:textId="77777777" w:rsidR="00ED0CCB" w:rsidRPr="0070363A" w:rsidRDefault="00ED0CCB" w:rsidP="00ED0CCB">
      <w:pPr>
        <w:spacing w:line="360" w:lineRule="auto"/>
        <w:rPr>
          <w:rFonts w:ascii="Arial" w:hAnsi="Arial" w:cs="Arial"/>
        </w:rPr>
      </w:pPr>
    </w:p>
    <w:p w14:paraId="36891C4A" w14:textId="77777777" w:rsidR="00ED0CCB" w:rsidRPr="00A16730" w:rsidRDefault="00ED0CCB" w:rsidP="00ED0CCB">
      <w:pPr>
        <w:tabs>
          <w:tab w:val="left" w:pos="5848"/>
        </w:tabs>
        <w:spacing w:line="360" w:lineRule="auto"/>
        <w:rPr>
          <w:rFonts w:ascii="Arial" w:hAnsi="Arial" w:cs="Arial"/>
          <w:lang w:val="pl-PL"/>
        </w:rPr>
      </w:pPr>
    </w:p>
    <w:p w14:paraId="6BC8A52D" w14:textId="77777777" w:rsidR="00ED0CCB" w:rsidRPr="00ED0CCB" w:rsidRDefault="00ED0CCB" w:rsidP="00ED0CCB">
      <w:pPr>
        <w:tabs>
          <w:tab w:val="left" w:pos="5848"/>
        </w:tabs>
        <w:spacing w:line="360" w:lineRule="auto"/>
        <w:rPr>
          <w:rFonts w:ascii="Arial" w:hAnsi="Arial" w:cs="Arial"/>
        </w:rPr>
      </w:pPr>
    </w:p>
    <w:p w14:paraId="047488D5" w14:textId="1C485F14" w:rsidR="00FF2F0C" w:rsidRPr="00ED0CCB" w:rsidRDefault="00FF2F0C" w:rsidP="00ED0CCB">
      <w:pPr>
        <w:tabs>
          <w:tab w:val="left" w:pos="5848"/>
        </w:tabs>
        <w:spacing w:line="360" w:lineRule="auto"/>
        <w:rPr>
          <w:rFonts w:ascii="Arial" w:hAnsi="Arial" w:cs="Arial"/>
          <w:b/>
          <w:bCs/>
          <w:sz w:val="14"/>
          <w:szCs w:val="14"/>
          <w:lang w:val="pl-PL"/>
        </w:rPr>
      </w:pPr>
    </w:p>
    <w:p w14:paraId="1F7454EA" w14:textId="4CEA55E5" w:rsidR="00FF2F0C" w:rsidRPr="00ED0CCB" w:rsidRDefault="00FF2F0C" w:rsidP="00ED0CCB">
      <w:pPr>
        <w:tabs>
          <w:tab w:val="left" w:pos="5848"/>
        </w:tabs>
        <w:spacing w:line="360" w:lineRule="auto"/>
        <w:rPr>
          <w:rFonts w:ascii="Arial" w:hAnsi="Arial" w:cs="Arial"/>
          <w:b/>
          <w:bCs/>
          <w:lang w:val="pl-PL"/>
        </w:rPr>
      </w:pPr>
    </w:p>
    <w:p w14:paraId="551CB51B" w14:textId="77777777" w:rsidR="00FF2F0C" w:rsidRPr="00ED0CCB" w:rsidRDefault="00FF2F0C" w:rsidP="00ED0CCB">
      <w:pPr>
        <w:tabs>
          <w:tab w:val="left" w:pos="5848"/>
        </w:tabs>
        <w:spacing w:line="360" w:lineRule="auto"/>
        <w:jc w:val="center"/>
        <w:rPr>
          <w:rFonts w:ascii="Arial" w:hAnsi="Arial" w:cs="Arial"/>
          <w:b/>
          <w:bCs/>
          <w:lang w:val="pl-PL"/>
        </w:rPr>
      </w:pPr>
    </w:p>
    <w:sectPr w:rsidR="00FF2F0C" w:rsidRPr="00ED0CCB" w:rsidSect="006B5972">
      <w:headerReference w:type="default" r:id="rId9"/>
      <w:footerReference w:type="default" r:id="rId10"/>
      <w:pgSz w:w="11906" w:h="16838"/>
      <w:pgMar w:top="1255" w:right="991" w:bottom="1134" w:left="993" w:header="570"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0397" w14:textId="77777777" w:rsidR="006B682B" w:rsidRDefault="006B682B" w:rsidP="006B5972">
      <w:pPr>
        <w:spacing w:after="0" w:line="240" w:lineRule="auto"/>
      </w:pPr>
      <w:r>
        <w:separator/>
      </w:r>
    </w:p>
  </w:endnote>
  <w:endnote w:type="continuationSeparator" w:id="0">
    <w:p w14:paraId="456D24F6" w14:textId="77777777" w:rsidR="006B682B" w:rsidRDefault="006B682B" w:rsidP="006B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BookAntiqua">
    <w:altName w:val="Book Antiqu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734388"/>
      <w:docPartObj>
        <w:docPartGallery w:val="Page Numbers (Bottom of Page)"/>
        <w:docPartUnique/>
      </w:docPartObj>
    </w:sdtPr>
    <w:sdtEndPr>
      <w:rPr>
        <w:noProof/>
      </w:rPr>
    </w:sdtEndPr>
    <w:sdtContent>
      <w:p w14:paraId="4DA1C1B9" w14:textId="5CDF30BF" w:rsidR="00905FE3" w:rsidRDefault="00905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6873C" w14:textId="77777777" w:rsidR="00905FE3" w:rsidRDefault="0090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8825" w14:textId="77777777" w:rsidR="006B682B" w:rsidRDefault="006B682B" w:rsidP="006B5972">
      <w:pPr>
        <w:spacing w:after="0" w:line="240" w:lineRule="auto"/>
      </w:pPr>
      <w:r>
        <w:separator/>
      </w:r>
    </w:p>
  </w:footnote>
  <w:footnote w:type="continuationSeparator" w:id="0">
    <w:p w14:paraId="4E1F8604" w14:textId="77777777" w:rsidR="006B682B" w:rsidRDefault="006B682B" w:rsidP="006B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80AC" w14:textId="2B7DF367" w:rsidR="00905FE3" w:rsidRDefault="00905FE3">
    <w:pPr>
      <w:pStyle w:val="Header"/>
    </w:pPr>
    <w:r>
      <w:rPr>
        <w:noProof/>
      </w:rPr>
      <w:drawing>
        <wp:anchor distT="0" distB="0" distL="114300" distR="114300" simplePos="0" relativeHeight="251659264" behindDoc="1" locked="0" layoutInCell="1" allowOverlap="1" wp14:anchorId="19EF9282" wp14:editId="1475109A">
          <wp:simplePos x="0" y="0"/>
          <wp:positionH relativeFrom="margin">
            <wp:posOffset>4324350</wp:posOffset>
          </wp:positionH>
          <wp:positionV relativeFrom="paragraph">
            <wp:posOffset>-254000</wp:posOffset>
          </wp:positionV>
          <wp:extent cx="2484004" cy="882002"/>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84004" cy="88200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75FB882"/>
    <w:multiLevelType w:val="hybridMultilevel"/>
    <w:tmpl w:val="660DE70E"/>
    <w:lvl w:ilvl="0" w:tplc="FFFFFFFF">
      <w:start w:val="1"/>
      <w:numFmt w:val="bullet"/>
      <w:pStyle w:val="Tr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347847"/>
    <w:multiLevelType w:val="hybridMultilevel"/>
    <w:tmpl w:val="4FEC7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567"/>
        </w:tabs>
        <w:ind w:left="0" w:firstLine="0"/>
      </w:pPr>
      <w:rPr>
        <w:rFonts w:ascii="Symbol" w:hAnsi="Symbol" w:cs="StarSymbol"/>
        <w:sz w:val="18"/>
        <w:szCs w:val="18"/>
      </w:rPr>
    </w:lvl>
  </w:abstractNum>
  <w:abstractNum w:abstractNumId="4" w15:restartNumberingAfterBreak="0">
    <w:nsid w:val="00927E44"/>
    <w:multiLevelType w:val="hybridMultilevel"/>
    <w:tmpl w:val="5BB80A64"/>
    <w:lvl w:ilvl="0" w:tplc="FA7C2D5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85D62"/>
    <w:multiLevelType w:val="multilevel"/>
    <w:tmpl w:val="B2D05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291AAB"/>
    <w:multiLevelType w:val="hybridMultilevel"/>
    <w:tmpl w:val="9DCAB8DE"/>
    <w:lvl w:ilvl="0" w:tplc="9664F6D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1B01458">
      <w:start w:val="1"/>
      <w:numFmt w:val="lowerLetter"/>
      <w:lvlText w:val="%2"/>
      <w:lvlJc w:val="left"/>
      <w:pPr>
        <w:ind w:left="15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B7E839C">
      <w:start w:val="1"/>
      <w:numFmt w:val="lowerRoman"/>
      <w:lvlText w:val="%3"/>
      <w:lvlJc w:val="left"/>
      <w:pPr>
        <w:ind w:left="22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DF2FD9E">
      <w:start w:val="1"/>
      <w:numFmt w:val="decimal"/>
      <w:lvlText w:val="%4"/>
      <w:lvlJc w:val="left"/>
      <w:pPr>
        <w:ind w:left="29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710CA66">
      <w:start w:val="1"/>
      <w:numFmt w:val="lowerLetter"/>
      <w:lvlText w:val="%5"/>
      <w:lvlJc w:val="left"/>
      <w:pPr>
        <w:ind w:left="3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E304954">
      <w:start w:val="1"/>
      <w:numFmt w:val="lowerRoman"/>
      <w:lvlText w:val="%6"/>
      <w:lvlJc w:val="left"/>
      <w:pPr>
        <w:ind w:left="44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9A4D4BA">
      <w:start w:val="1"/>
      <w:numFmt w:val="decimal"/>
      <w:lvlText w:val="%7"/>
      <w:lvlJc w:val="left"/>
      <w:pPr>
        <w:ind w:left="51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3A6F57C">
      <w:start w:val="1"/>
      <w:numFmt w:val="lowerLetter"/>
      <w:lvlText w:val="%8"/>
      <w:lvlJc w:val="left"/>
      <w:pPr>
        <w:ind w:left="58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8189026">
      <w:start w:val="1"/>
      <w:numFmt w:val="lowerRoman"/>
      <w:lvlText w:val="%9"/>
      <w:lvlJc w:val="left"/>
      <w:pPr>
        <w:ind w:left="65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5BF1A8C"/>
    <w:multiLevelType w:val="hybridMultilevel"/>
    <w:tmpl w:val="165059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76053"/>
    <w:multiLevelType w:val="hybridMultilevel"/>
    <w:tmpl w:val="433CA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820FD"/>
    <w:multiLevelType w:val="hybridMultilevel"/>
    <w:tmpl w:val="87CE4908"/>
    <w:lvl w:ilvl="0" w:tplc="8F6A67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3B22CE"/>
    <w:multiLevelType w:val="hybridMultilevel"/>
    <w:tmpl w:val="E20A4870"/>
    <w:lvl w:ilvl="0" w:tplc="80E2FA7E">
      <w:start w:val="1"/>
      <w:numFmt w:val="bullet"/>
      <w:lvlText w:val=""/>
      <w:lvlJc w:val="left"/>
      <w:pPr>
        <w:ind w:left="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36DC22">
      <w:start w:val="1"/>
      <w:numFmt w:val="bullet"/>
      <w:lvlText w:val="o"/>
      <w:lvlJc w:val="left"/>
      <w:pPr>
        <w:ind w:left="1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4E0348">
      <w:start w:val="1"/>
      <w:numFmt w:val="bullet"/>
      <w:lvlText w:val="▪"/>
      <w:lvlJc w:val="left"/>
      <w:pPr>
        <w:ind w:left="1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A07924">
      <w:start w:val="1"/>
      <w:numFmt w:val="bullet"/>
      <w:lvlText w:val="•"/>
      <w:lvlJc w:val="left"/>
      <w:pPr>
        <w:ind w:left="2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92E43E">
      <w:start w:val="1"/>
      <w:numFmt w:val="bullet"/>
      <w:lvlText w:val="o"/>
      <w:lvlJc w:val="left"/>
      <w:pPr>
        <w:ind w:left="33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5AF25A">
      <w:start w:val="1"/>
      <w:numFmt w:val="bullet"/>
      <w:lvlText w:val="▪"/>
      <w:lvlJc w:val="left"/>
      <w:pPr>
        <w:ind w:left="40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10108C">
      <w:start w:val="1"/>
      <w:numFmt w:val="bullet"/>
      <w:lvlText w:val="•"/>
      <w:lvlJc w:val="left"/>
      <w:pPr>
        <w:ind w:left="47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1E6F30">
      <w:start w:val="1"/>
      <w:numFmt w:val="bullet"/>
      <w:lvlText w:val="o"/>
      <w:lvlJc w:val="left"/>
      <w:pPr>
        <w:ind w:left="54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BA8E10">
      <w:start w:val="1"/>
      <w:numFmt w:val="bullet"/>
      <w:lvlText w:val="▪"/>
      <w:lvlJc w:val="left"/>
      <w:pPr>
        <w:ind w:left="6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05772B"/>
    <w:multiLevelType w:val="multilevel"/>
    <w:tmpl w:val="1FE2624C"/>
    <w:lvl w:ilvl="0">
      <w:start w:val="1"/>
      <w:numFmt w:val="bullet"/>
      <w:lvlText w:val=""/>
      <w:lvlJc w:val="left"/>
      <w:pPr>
        <w:ind w:left="363" w:hanging="363"/>
      </w:pPr>
      <w:rPr>
        <w:rFonts w:ascii="Symbol" w:hAnsi="Symbol" w:hint="default"/>
        <w:color w:val="FF0000"/>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2" w15:restartNumberingAfterBreak="0">
    <w:nsid w:val="16957553"/>
    <w:multiLevelType w:val="hybridMultilevel"/>
    <w:tmpl w:val="9C68C1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956E6"/>
    <w:multiLevelType w:val="hybridMultilevel"/>
    <w:tmpl w:val="4222926E"/>
    <w:lvl w:ilvl="0" w:tplc="2B9C7F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51153"/>
    <w:multiLevelType w:val="hybridMultilevel"/>
    <w:tmpl w:val="C524995E"/>
    <w:lvl w:ilvl="0" w:tplc="43EAC410">
      <w:start w:val="1"/>
      <w:numFmt w:val="decimal"/>
      <w:lvlText w:val="%1."/>
      <w:lvlJc w:val="left"/>
      <w:pPr>
        <w:ind w:left="360" w:hanging="360"/>
      </w:pPr>
      <w:rPr>
        <w:rFonts w:ascii="Verdana" w:eastAsia="Times New Roman" w:hAnsi="Verdana"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D5105"/>
    <w:multiLevelType w:val="hybridMultilevel"/>
    <w:tmpl w:val="D3A4EEAA"/>
    <w:lvl w:ilvl="0" w:tplc="04150001">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6" w15:restartNumberingAfterBreak="0">
    <w:nsid w:val="259C16A5"/>
    <w:multiLevelType w:val="hybridMultilevel"/>
    <w:tmpl w:val="2FBA7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E54CB4"/>
    <w:multiLevelType w:val="hybridMultilevel"/>
    <w:tmpl w:val="422E509E"/>
    <w:lvl w:ilvl="0" w:tplc="1E086504">
      <w:start w:val="1"/>
      <w:numFmt w:val="decimal"/>
      <w:lvlText w:val="%1."/>
      <w:lvlJc w:val="left"/>
      <w:pPr>
        <w:ind w:left="1080" w:hanging="360"/>
      </w:pPr>
      <w:rPr>
        <w:rFonts w:ascii="Cambria" w:eastAsiaTheme="minorHAnsi" w:hAnsi="Cambria"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B63517"/>
    <w:multiLevelType w:val="hybridMultilevel"/>
    <w:tmpl w:val="A3EC12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00E49ED"/>
    <w:multiLevelType w:val="hybridMultilevel"/>
    <w:tmpl w:val="18FE4AF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B47639"/>
    <w:multiLevelType w:val="hybridMultilevel"/>
    <w:tmpl w:val="67B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8A7BF6"/>
    <w:multiLevelType w:val="hybridMultilevel"/>
    <w:tmpl w:val="0100CDA2"/>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6807EA"/>
    <w:multiLevelType w:val="hybridMultilevel"/>
    <w:tmpl w:val="0A2C985A"/>
    <w:lvl w:ilvl="0" w:tplc="E5C673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AA032BB"/>
    <w:multiLevelType w:val="hybridMultilevel"/>
    <w:tmpl w:val="179E8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BA7B4B"/>
    <w:multiLevelType w:val="hybridMultilevel"/>
    <w:tmpl w:val="413E7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A49D5"/>
    <w:multiLevelType w:val="multilevel"/>
    <w:tmpl w:val="05B8B6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D9C550F"/>
    <w:multiLevelType w:val="hybridMultilevel"/>
    <w:tmpl w:val="BB148D1A"/>
    <w:lvl w:ilvl="0" w:tplc="B8EE11AA">
      <w:start w:val="1"/>
      <w:numFmt w:val="lowerLetter"/>
      <w:lvlText w:val="%1)"/>
      <w:lvlJc w:val="left"/>
      <w:pPr>
        <w:ind w:left="42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FD0C449E">
      <w:start w:val="1"/>
      <w:numFmt w:val="lowerLetter"/>
      <w:lvlText w:val="%2"/>
      <w:lvlJc w:val="left"/>
      <w:pPr>
        <w:ind w:left="13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C43E0E">
      <w:start w:val="1"/>
      <w:numFmt w:val="lowerRoman"/>
      <w:lvlText w:val="%3"/>
      <w:lvlJc w:val="left"/>
      <w:pPr>
        <w:ind w:left="20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20F8153E">
      <w:start w:val="1"/>
      <w:numFmt w:val="decimal"/>
      <w:lvlText w:val="%4"/>
      <w:lvlJc w:val="left"/>
      <w:pPr>
        <w:ind w:left="27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33A463F2">
      <w:start w:val="1"/>
      <w:numFmt w:val="lowerLetter"/>
      <w:lvlText w:val="%5"/>
      <w:lvlJc w:val="left"/>
      <w:pPr>
        <w:ind w:left="349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C05ACAEA">
      <w:start w:val="1"/>
      <w:numFmt w:val="lowerRoman"/>
      <w:lvlText w:val="%6"/>
      <w:lvlJc w:val="left"/>
      <w:pPr>
        <w:ind w:left="42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E0240B0">
      <w:start w:val="1"/>
      <w:numFmt w:val="decimal"/>
      <w:lvlText w:val="%7"/>
      <w:lvlJc w:val="left"/>
      <w:pPr>
        <w:ind w:left="49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E6EB722">
      <w:start w:val="1"/>
      <w:numFmt w:val="lowerLetter"/>
      <w:lvlText w:val="%8"/>
      <w:lvlJc w:val="left"/>
      <w:pPr>
        <w:ind w:left="56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9FEB1EE">
      <w:start w:val="1"/>
      <w:numFmt w:val="lowerRoman"/>
      <w:lvlText w:val="%9"/>
      <w:lvlJc w:val="left"/>
      <w:pPr>
        <w:ind w:left="63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3EF91701"/>
    <w:multiLevelType w:val="hybridMultilevel"/>
    <w:tmpl w:val="593493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F950A1C"/>
    <w:multiLevelType w:val="hybridMultilevel"/>
    <w:tmpl w:val="05EC6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423442B"/>
    <w:multiLevelType w:val="hybridMultilevel"/>
    <w:tmpl w:val="A5C06A7E"/>
    <w:lvl w:ilvl="0" w:tplc="D58280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F44628"/>
    <w:multiLevelType w:val="hybridMultilevel"/>
    <w:tmpl w:val="41045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6591AD0"/>
    <w:multiLevelType w:val="hybridMultilevel"/>
    <w:tmpl w:val="9E22F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4A7E8A"/>
    <w:multiLevelType w:val="hybridMultilevel"/>
    <w:tmpl w:val="D67E1EE6"/>
    <w:lvl w:ilvl="0" w:tplc="E19475D0">
      <w:start w:val="1"/>
      <w:numFmt w:val="decimal"/>
      <w:lvlText w:val="%1."/>
      <w:lvlJc w:val="left"/>
      <w:pPr>
        <w:ind w:left="720" w:hanging="360"/>
      </w:pPr>
      <w:rPr>
        <w:rFonts w:asciiTheme="minorHAnsi" w:eastAsia="Times New Roman" w:hAnsiTheme="minorHAnsi" w:cstheme="minorHAnsi"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CDB27C4"/>
    <w:multiLevelType w:val="hybridMultilevel"/>
    <w:tmpl w:val="8294EB1E"/>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4F9095EC">
      <w:start w:val="1"/>
      <w:numFmt w:val="decimal"/>
      <w:lvlText w:val="%3."/>
      <w:lvlJc w:val="left"/>
      <w:pPr>
        <w:ind w:left="3060" w:hanging="360"/>
      </w:pPr>
    </w:lvl>
    <w:lvl w:ilvl="3" w:tplc="ADE497C2">
      <w:start w:val="1"/>
      <w:numFmt w:val="lowerLetter"/>
      <w:lvlText w:val="%4)"/>
      <w:lvlJc w:val="left"/>
      <w:pPr>
        <w:ind w:left="3600" w:hanging="360"/>
      </w:pPr>
    </w:lvl>
    <w:lvl w:ilvl="4" w:tplc="7D30387A">
      <w:start w:val="1"/>
      <w:numFmt w:val="upp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4F401D89"/>
    <w:multiLevelType w:val="hybridMultilevel"/>
    <w:tmpl w:val="8226502A"/>
    <w:lvl w:ilvl="0" w:tplc="D8D4E716">
      <w:start w:val="1"/>
      <w:numFmt w:val="bullet"/>
      <w:lvlText w:val="•"/>
      <w:lvlJc w:val="left"/>
      <w:pPr>
        <w:ind w:left="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E254">
      <w:start w:val="1"/>
      <w:numFmt w:val="bullet"/>
      <w:lvlText w:val="o"/>
      <w:lvlJc w:val="left"/>
      <w:pPr>
        <w:ind w:left="1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8435AE">
      <w:start w:val="1"/>
      <w:numFmt w:val="bullet"/>
      <w:lvlText w:val="▪"/>
      <w:lvlJc w:val="left"/>
      <w:pPr>
        <w:ind w:left="2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8E567A">
      <w:start w:val="1"/>
      <w:numFmt w:val="bullet"/>
      <w:lvlText w:val="•"/>
      <w:lvlJc w:val="left"/>
      <w:pPr>
        <w:ind w:left="3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EF1E4">
      <w:start w:val="1"/>
      <w:numFmt w:val="bullet"/>
      <w:lvlText w:val="o"/>
      <w:lvlJc w:val="left"/>
      <w:pPr>
        <w:ind w:left="3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909852">
      <w:start w:val="1"/>
      <w:numFmt w:val="bullet"/>
      <w:lvlText w:val="▪"/>
      <w:lvlJc w:val="left"/>
      <w:pPr>
        <w:ind w:left="4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CC5466">
      <w:start w:val="1"/>
      <w:numFmt w:val="bullet"/>
      <w:lvlText w:val="•"/>
      <w:lvlJc w:val="left"/>
      <w:pPr>
        <w:ind w:left="5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A16A2">
      <w:start w:val="1"/>
      <w:numFmt w:val="bullet"/>
      <w:lvlText w:val="o"/>
      <w:lvlJc w:val="left"/>
      <w:pPr>
        <w:ind w:left="5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78F442">
      <w:start w:val="1"/>
      <w:numFmt w:val="bullet"/>
      <w:lvlText w:val="▪"/>
      <w:lvlJc w:val="left"/>
      <w:pPr>
        <w:ind w:left="6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FF06AFA"/>
    <w:multiLevelType w:val="hybridMultilevel"/>
    <w:tmpl w:val="8FA8B7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1C52DFC"/>
    <w:multiLevelType w:val="hybridMultilevel"/>
    <w:tmpl w:val="E5585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3C07E6"/>
    <w:multiLevelType w:val="hybridMultilevel"/>
    <w:tmpl w:val="B85E6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C5BA8"/>
    <w:multiLevelType w:val="hybridMultilevel"/>
    <w:tmpl w:val="17E88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6A41E23"/>
    <w:multiLevelType w:val="hybridMultilevel"/>
    <w:tmpl w:val="15328104"/>
    <w:lvl w:ilvl="0" w:tplc="31A889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5A5B12A7"/>
    <w:multiLevelType w:val="hybridMultilevel"/>
    <w:tmpl w:val="B88C6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F26D93"/>
    <w:multiLevelType w:val="hybridMultilevel"/>
    <w:tmpl w:val="BE4C2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E2E5201"/>
    <w:multiLevelType w:val="hybridMultilevel"/>
    <w:tmpl w:val="5D96BE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EFA618D"/>
    <w:multiLevelType w:val="multilevel"/>
    <w:tmpl w:val="F78EA11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F840D29"/>
    <w:multiLevelType w:val="hybridMultilevel"/>
    <w:tmpl w:val="6AEC3E0C"/>
    <w:lvl w:ilvl="0" w:tplc="9B1C23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0E73D8E"/>
    <w:multiLevelType w:val="hybridMultilevel"/>
    <w:tmpl w:val="7C682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611149"/>
    <w:multiLevelType w:val="hybridMultilevel"/>
    <w:tmpl w:val="C8B42FEA"/>
    <w:lvl w:ilvl="0" w:tplc="F3E0A246">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7" w15:restartNumberingAfterBreak="0">
    <w:nsid w:val="66231A29"/>
    <w:multiLevelType w:val="hybridMultilevel"/>
    <w:tmpl w:val="F2AC4D04"/>
    <w:lvl w:ilvl="0" w:tplc="B8F87D2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669103E"/>
    <w:multiLevelType w:val="hybridMultilevel"/>
    <w:tmpl w:val="B9E89A7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409D9"/>
    <w:multiLevelType w:val="hybridMultilevel"/>
    <w:tmpl w:val="6A62A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803005"/>
    <w:multiLevelType w:val="multilevel"/>
    <w:tmpl w:val="87F07EB0"/>
    <w:lvl w:ilvl="0">
      <w:start w:val="1"/>
      <w:numFmt w:val="decimal"/>
      <w:lvlText w:val="%1."/>
      <w:lvlJc w:val="left"/>
      <w:pPr>
        <w:ind w:left="1165" w:hanging="360"/>
      </w:pPr>
      <w:rPr>
        <w:rFonts w:hint="default"/>
      </w:rPr>
    </w:lvl>
    <w:lvl w:ilvl="1">
      <w:start w:val="1"/>
      <w:numFmt w:val="decimal"/>
      <w:isLgl/>
      <w:lvlText w:val="%1.%2."/>
      <w:lvlJc w:val="left"/>
      <w:pPr>
        <w:ind w:left="1525" w:hanging="360"/>
      </w:pPr>
      <w:rPr>
        <w:rFonts w:hint="default"/>
      </w:rPr>
    </w:lvl>
    <w:lvl w:ilvl="2">
      <w:start w:val="1"/>
      <w:numFmt w:val="decimal"/>
      <w:isLgl/>
      <w:lvlText w:val="%1.%2.%3."/>
      <w:lvlJc w:val="left"/>
      <w:pPr>
        <w:ind w:left="2245" w:hanging="720"/>
      </w:pPr>
      <w:rPr>
        <w:rFonts w:hint="default"/>
      </w:rPr>
    </w:lvl>
    <w:lvl w:ilvl="3">
      <w:start w:val="1"/>
      <w:numFmt w:val="decimal"/>
      <w:isLgl/>
      <w:lvlText w:val="%1.%2.%3.%4."/>
      <w:lvlJc w:val="left"/>
      <w:pPr>
        <w:ind w:left="2605" w:hanging="720"/>
      </w:pPr>
      <w:rPr>
        <w:rFonts w:hint="default"/>
      </w:rPr>
    </w:lvl>
    <w:lvl w:ilvl="4">
      <w:start w:val="1"/>
      <w:numFmt w:val="decimal"/>
      <w:isLgl/>
      <w:lvlText w:val="%1.%2.%3.%4.%5."/>
      <w:lvlJc w:val="left"/>
      <w:pPr>
        <w:ind w:left="3325" w:hanging="1080"/>
      </w:pPr>
      <w:rPr>
        <w:rFonts w:hint="default"/>
      </w:rPr>
    </w:lvl>
    <w:lvl w:ilvl="5">
      <w:start w:val="1"/>
      <w:numFmt w:val="decimal"/>
      <w:isLgl/>
      <w:lvlText w:val="%1.%2.%3.%4.%5.%6."/>
      <w:lvlJc w:val="left"/>
      <w:pPr>
        <w:ind w:left="3685" w:hanging="1080"/>
      </w:pPr>
      <w:rPr>
        <w:rFonts w:hint="default"/>
      </w:rPr>
    </w:lvl>
    <w:lvl w:ilvl="6">
      <w:start w:val="1"/>
      <w:numFmt w:val="decimal"/>
      <w:isLgl/>
      <w:lvlText w:val="%1.%2.%3.%4.%5.%6.%7."/>
      <w:lvlJc w:val="left"/>
      <w:pPr>
        <w:ind w:left="4405" w:hanging="1440"/>
      </w:pPr>
      <w:rPr>
        <w:rFonts w:hint="default"/>
      </w:rPr>
    </w:lvl>
    <w:lvl w:ilvl="7">
      <w:start w:val="1"/>
      <w:numFmt w:val="decimal"/>
      <w:isLgl/>
      <w:lvlText w:val="%1.%2.%3.%4.%5.%6.%7.%8."/>
      <w:lvlJc w:val="left"/>
      <w:pPr>
        <w:ind w:left="4765" w:hanging="1440"/>
      </w:pPr>
      <w:rPr>
        <w:rFonts w:hint="default"/>
      </w:rPr>
    </w:lvl>
    <w:lvl w:ilvl="8">
      <w:start w:val="1"/>
      <w:numFmt w:val="decimal"/>
      <w:isLgl/>
      <w:lvlText w:val="%1.%2.%3.%4.%5.%6.%7.%8.%9."/>
      <w:lvlJc w:val="left"/>
      <w:pPr>
        <w:ind w:left="5485" w:hanging="1800"/>
      </w:pPr>
      <w:rPr>
        <w:rFonts w:hint="default"/>
      </w:rPr>
    </w:lvl>
  </w:abstractNum>
  <w:abstractNum w:abstractNumId="51" w15:restartNumberingAfterBreak="0">
    <w:nsid w:val="6DA929EF"/>
    <w:multiLevelType w:val="hybridMultilevel"/>
    <w:tmpl w:val="0F5A6214"/>
    <w:lvl w:ilvl="0" w:tplc="0427000B">
      <w:start w:val="1"/>
      <w:numFmt w:val="bullet"/>
      <w:lvlText w:val=""/>
      <w:lvlJc w:val="left"/>
      <w:pPr>
        <w:ind w:left="1069" w:hanging="360"/>
      </w:pPr>
      <w:rPr>
        <w:rFonts w:ascii="Wingdings" w:hAnsi="Wingding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2" w15:restartNumberingAfterBreak="0">
    <w:nsid w:val="7182535D"/>
    <w:multiLevelType w:val="hybridMultilevel"/>
    <w:tmpl w:val="11DA524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02749D"/>
    <w:multiLevelType w:val="hybridMultilevel"/>
    <w:tmpl w:val="2926F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2E17F98"/>
    <w:multiLevelType w:val="hybridMultilevel"/>
    <w:tmpl w:val="4FD4ED24"/>
    <w:lvl w:ilvl="0" w:tplc="4132916E">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931C84"/>
    <w:multiLevelType w:val="hybridMultilevel"/>
    <w:tmpl w:val="21B0ABF8"/>
    <w:lvl w:ilvl="0" w:tplc="04150017">
      <w:start w:val="1"/>
      <w:numFmt w:val="lowerLetter"/>
      <w:lvlText w:val="%1)"/>
      <w:lvlJc w:val="left"/>
      <w:pPr>
        <w:tabs>
          <w:tab w:val="num" w:pos="1068"/>
        </w:tabs>
        <w:ind w:left="1068" w:hanging="360"/>
      </w:pPr>
    </w:lvl>
    <w:lvl w:ilvl="1" w:tplc="04150017">
      <w:start w:val="1"/>
      <w:numFmt w:val="lowerLetter"/>
      <w:lvlText w:val="%2)"/>
      <w:lvlJc w:val="left"/>
      <w:pPr>
        <w:tabs>
          <w:tab w:val="num" w:pos="1878"/>
        </w:tabs>
        <w:ind w:left="1878" w:hanging="45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56" w15:restartNumberingAfterBreak="0">
    <w:nsid w:val="74EF9591"/>
    <w:multiLevelType w:val="hybridMultilevel"/>
    <w:tmpl w:val="ECDED0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2816195">
    <w:abstractNumId w:val="32"/>
  </w:num>
  <w:num w:numId="2" w16cid:durableId="145438650">
    <w:abstractNumId w:val="1"/>
  </w:num>
  <w:num w:numId="3" w16cid:durableId="1021082540">
    <w:abstractNumId w:val="2"/>
  </w:num>
  <w:num w:numId="4" w16cid:durableId="2134252733">
    <w:abstractNumId w:val="12"/>
  </w:num>
  <w:num w:numId="5" w16cid:durableId="1956059636">
    <w:abstractNumId w:val="45"/>
  </w:num>
  <w:num w:numId="6" w16cid:durableId="1396734748">
    <w:abstractNumId w:val="18"/>
  </w:num>
  <w:num w:numId="7" w16cid:durableId="813061173">
    <w:abstractNumId w:val="7"/>
  </w:num>
  <w:num w:numId="8" w16cid:durableId="81491861">
    <w:abstractNumId w:val="37"/>
  </w:num>
  <w:num w:numId="9" w16cid:durableId="1803114973">
    <w:abstractNumId w:val="0"/>
  </w:num>
  <w:num w:numId="10" w16cid:durableId="2055615939">
    <w:abstractNumId w:val="50"/>
  </w:num>
  <w:num w:numId="11" w16cid:durableId="589967687">
    <w:abstractNumId w:val="41"/>
  </w:num>
  <w:num w:numId="12" w16cid:durableId="1839541449">
    <w:abstractNumId w:val="30"/>
  </w:num>
  <w:num w:numId="13" w16cid:durableId="633602469">
    <w:abstractNumId w:val="38"/>
  </w:num>
  <w:num w:numId="14" w16cid:durableId="517894668">
    <w:abstractNumId w:val="53"/>
  </w:num>
  <w:num w:numId="15" w16cid:durableId="1605843387">
    <w:abstractNumId w:val="51"/>
  </w:num>
  <w:num w:numId="16" w16cid:durableId="44380378">
    <w:abstractNumId w:val="23"/>
  </w:num>
  <w:num w:numId="17" w16cid:durableId="689524181">
    <w:abstractNumId w:val="36"/>
  </w:num>
  <w:num w:numId="18" w16cid:durableId="1252927554">
    <w:abstractNumId w:val="27"/>
  </w:num>
  <w:num w:numId="19" w16cid:durableId="1294754704">
    <w:abstractNumId w:val="28"/>
  </w:num>
  <w:num w:numId="20" w16cid:durableId="1206412379">
    <w:abstractNumId w:val="15"/>
  </w:num>
  <w:num w:numId="21" w16cid:durableId="1803766957">
    <w:abstractNumId w:val="48"/>
  </w:num>
  <w:num w:numId="22" w16cid:durableId="1982273720">
    <w:abstractNumId w:val="35"/>
  </w:num>
  <w:num w:numId="23" w16cid:durableId="144326212">
    <w:abstractNumId w:val="39"/>
  </w:num>
  <w:num w:numId="24" w16cid:durableId="1223177384">
    <w:abstractNumId w:val="47"/>
  </w:num>
  <w:num w:numId="25" w16cid:durableId="216674680">
    <w:abstractNumId w:val="43"/>
  </w:num>
  <w:num w:numId="26" w16cid:durableId="1452748303">
    <w:abstractNumId w:val="46"/>
  </w:num>
  <w:num w:numId="27" w16cid:durableId="424348525">
    <w:abstractNumId w:val="56"/>
  </w:num>
  <w:num w:numId="28" w16cid:durableId="1913469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4007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7390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1330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2145172">
    <w:abstractNumId w:val="8"/>
  </w:num>
  <w:num w:numId="33" w16cid:durableId="1304310908">
    <w:abstractNumId w:val="34"/>
  </w:num>
  <w:num w:numId="34" w16cid:durableId="2131167759">
    <w:abstractNumId w:val="10"/>
  </w:num>
  <w:num w:numId="35" w16cid:durableId="89935118">
    <w:abstractNumId w:val="11"/>
  </w:num>
  <w:num w:numId="36" w16cid:durableId="666396418">
    <w:abstractNumId w:val="14"/>
  </w:num>
  <w:num w:numId="37" w16cid:durableId="2013335163">
    <w:abstractNumId w:val="3"/>
  </w:num>
  <w:num w:numId="38" w16cid:durableId="981496670">
    <w:abstractNumId w:val="24"/>
  </w:num>
  <w:num w:numId="39" w16cid:durableId="805582573">
    <w:abstractNumId w:val="40"/>
  </w:num>
  <w:num w:numId="40" w16cid:durableId="1502742279">
    <w:abstractNumId w:val="17"/>
  </w:num>
  <w:num w:numId="41" w16cid:durableId="1196235711">
    <w:abstractNumId w:val="54"/>
  </w:num>
  <w:num w:numId="42" w16cid:durableId="2128116204">
    <w:abstractNumId w:val="4"/>
  </w:num>
  <w:num w:numId="43" w16cid:durableId="275983930">
    <w:abstractNumId w:val="49"/>
  </w:num>
  <w:num w:numId="44" w16cid:durableId="1048607804">
    <w:abstractNumId w:val="29"/>
  </w:num>
  <w:num w:numId="45" w16cid:durableId="1474255523">
    <w:abstractNumId w:val="13"/>
  </w:num>
  <w:num w:numId="46" w16cid:durableId="1566914688">
    <w:abstractNumId w:val="44"/>
  </w:num>
  <w:num w:numId="47" w16cid:durableId="1721243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59634359">
    <w:abstractNumId w:val="52"/>
  </w:num>
  <w:num w:numId="49" w16cid:durableId="840464794">
    <w:abstractNumId w:val="42"/>
  </w:num>
  <w:num w:numId="50" w16cid:durableId="1427849131">
    <w:abstractNumId w:val="9"/>
  </w:num>
  <w:num w:numId="51" w16cid:durableId="1718704543">
    <w:abstractNumId w:val="21"/>
  </w:num>
  <w:num w:numId="52" w16cid:durableId="539056620">
    <w:abstractNumId w:val="22"/>
  </w:num>
  <w:num w:numId="53" w16cid:durableId="1708067974">
    <w:abstractNumId w:val="5"/>
  </w:num>
  <w:num w:numId="54" w16cid:durableId="256208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088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27628997">
    <w:abstractNumId w:val="19"/>
  </w:num>
  <w:num w:numId="57" w16cid:durableId="7418035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F2"/>
    <w:rsid w:val="00036060"/>
    <w:rsid w:val="000417F2"/>
    <w:rsid w:val="00062012"/>
    <w:rsid w:val="00072E63"/>
    <w:rsid w:val="000A07AF"/>
    <w:rsid w:val="000B29EF"/>
    <w:rsid w:val="00115F5F"/>
    <w:rsid w:val="0016546E"/>
    <w:rsid w:val="001E08CB"/>
    <w:rsid w:val="0022059D"/>
    <w:rsid w:val="0022179D"/>
    <w:rsid w:val="00222B6A"/>
    <w:rsid w:val="00225C28"/>
    <w:rsid w:val="0026543C"/>
    <w:rsid w:val="002725A4"/>
    <w:rsid w:val="002D2BDC"/>
    <w:rsid w:val="002F510A"/>
    <w:rsid w:val="00303FE4"/>
    <w:rsid w:val="00314B26"/>
    <w:rsid w:val="0036770C"/>
    <w:rsid w:val="00370E40"/>
    <w:rsid w:val="003D460D"/>
    <w:rsid w:val="00455E5A"/>
    <w:rsid w:val="004B09FA"/>
    <w:rsid w:val="004D30D4"/>
    <w:rsid w:val="004E16F6"/>
    <w:rsid w:val="00534FBB"/>
    <w:rsid w:val="0056457B"/>
    <w:rsid w:val="00565EEA"/>
    <w:rsid w:val="00593C22"/>
    <w:rsid w:val="005E7947"/>
    <w:rsid w:val="00613B60"/>
    <w:rsid w:val="006462A7"/>
    <w:rsid w:val="00665FB3"/>
    <w:rsid w:val="0066760B"/>
    <w:rsid w:val="006B5972"/>
    <w:rsid w:val="006B682B"/>
    <w:rsid w:val="006D4148"/>
    <w:rsid w:val="0070363A"/>
    <w:rsid w:val="007072C3"/>
    <w:rsid w:val="00723F64"/>
    <w:rsid w:val="007430D1"/>
    <w:rsid w:val="0078116D"/>
    <w:rsid w:val="007E0E87"/>
    <w:rsid w:val="007F03E6"/>
    <w:rsid w:val="008429F6"/>
    <w:rsid w:val="00854583"/>
    <w:rsid w:val="008A35DE"/>
    <w:rsid w:val="008A7890"/>
    <w:rsid w:val="008C6C7F"/>
    <w:rsid w:val="00905FE3"/>
    <w:rsid w:val="00976347"/>
    <w:rsid w:val="00990E4C"/>
    <w:rsid w:val="00A16266"/>
    <w:rsid w:val="00A16730"/>
    <w:rsid w:val="00A27006"/>
    <w:rsid w:val="00A63C97"/>
    <w:rsid w:val="00A8028C"/>
    <w:rsid w:val="00AA610E"/>
    <w:rsid w:val="00B016D1"/>
    <w:rsid w:val="00B57DDF"/>
    <w:rsid w:val="00B71815"/>
    <w:rsid w:val="00BC14EB"/>
    <w:rsid w:val="00BE1677"/>
    <w:rsid w:val="00BF2A62"/>
    <w:rsid w:val="00BF6FD0"/>
    <w:rsid w:val="00C47677"/>
    <w:rsid w:val="00C55099"/>
    <w:rsid w:val="00C55EAC"/>
    <w:rsid w:val="00C61F88"/>
    <w:rsid w:val="00C80BB1"/>
    <w:rsid w:val="00C97925"/>
    <w:rsid w:val="00CA751F"/>
    <w:rsid w:val="00D0084E"/>
    <w:rsid w:val="00D011E6"/>
    <w:rsid w:val="00D32736"/>
    <w:rsid w:val="00D64692"/>
    <w:rsid w:val="00D82563"/>
    <w:rsid w:val="00DA72EF"/>
    <w:rsid w:val="00DB58F2"/>
    <w:rsid w:val="00DB6912"/>
    <w:rsid w:val="00E628FF"/>
    <w:rsid w:val="00E800E0"/>
    <w:rsid w:val="00E95E5E"/>
    <w:rsid w:val="00EC0595"/>
    <w:rsid w:val="00EC30E1"/>
    <w:rsid w:val="00ED0CCB"/>
    <w:rsid w:val="00ED46B6"/>
    <w:rsid w:val="00F07FBC"/>
    <w:rsid w:val="00F732C1"/>
    <w:rsid w:val="00FE1945"/>
    <w:rsid w:val="00FE3890"/>
    <w:rsid w:val="00FF2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9FB51"/>
  <w15:chartTrackingRefBased/>
  <w15:docId w15:val="{2B20913E-A3F0-4149-8230-03E364A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F2"/>
  </w:style>
  <w:style w:type="paragraph" w:styleId="Heading1">
    <w:name w:val="heading 1"/>
    <w:basedOn w:val="Normal"/>
    <w:link w:val="Heading1Char"/>
    <w:uiPriority w:val="9"/>
    <w:qFormat/>
    <w:rsid w:val="00C80BB1"/>
    <w:pPr>
      <w:widowControl w:val="0"/>
      <w:autoSpaceDE w:val="0"/>
      <w:autoSpaceDN w:val="0"/>
      <w:spacing w:after="0" w:line="240" w:lineRule="auto"/>
      <w:jc w:val="right"/>
      <w:outlineLvl w:val="0"/>
    </w:pPr>
    <w:rPr>
      <w:rFonts w:ascii="Times New Roman" w:eastAsia="Times New Roman" w:hAnsi="Times New Roman" w:cs="Times New Roman"/>
      <w:b/>
      <w:bCs/>
      <w:sz w:val="17"/>
      <w:szCs w:val="17"/>
      <w:lang w:val="en-US"/>
    </w:rPr>
  </w:style>
  <w:style w:type="paragraph" w:styleId="Heading3">
    <w:name w:val="heading 3"/>
    <w:basedOn w:val="Normal"/>
    <w:next w:val="Normal"/>
    <w:link w:val="Heading3Char"/>
    <w:uiPriority w:val="9"/>
    <w:semiHidden/>
    <w:unhideWhenUsed/>
    <w:qFormat/>
    <w:rsid w:val="007430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9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5972"/>
  </w:style>
  <w:style w:type="paragraph" w:styleId="Footer">
    <w:name w:val="footer"/>
    <w:basedOn w:val="Normal"/>
    <w:link w:val="FooterChar"/>
    <w:uiPriority w:val="99"/>
    <w:unhideWhenUsed/>
    <w:rsid w:val="006B59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6B5972"/>
  </w:style>
  <w:style w:type="paragraph" w:styleId="ListParagraph">
    <w:name w:val="List Paragraph"/>
    <w:basedOn w:val="Normal"/>
    <w:uiPriority w:val="34"/>
    <w:qFormat/>
    <w:rsid w:val="00C61F88"/>
    <w:pPr>
      <w:ind w:left="720"/>
      <w:contextualSpacing/>
    </w:pPr>
  </w:style>
  <w:style w:type="table" w:styleId="TableGrid">
    <w:name w:val="Table Grid"/>
    <w:basedOn w:val="TableNormal"/>
    <w:uiPriority w:val="39"/>
    <w:rsid w:val="00C6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1F88"/>
    <w:pPr>
      <w:spacing w:after="0" w:line="360" w:lineRule="auto"/>
      <w:ind w:left="720" w:firstLine="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C61F88"/>
    <w:rPr>
      <w:rFonts w:ascii="Times New Roman" w:eastAsia="Times New Roman" w:hAnsi="Times New Roman" w:cs="Times New Roman"/>
      <w:sz w:val="24"/>
      <w:szCs w:val="24"/>
      <w:lang w:val="en-GB"/>
    </w:rPr>
  </w:style>
  <w:style w:type="paragraph" w:customStyle="1" w:styleId="Default">
    <w:name w:val="Default"/>
    <w:rsid w:val="00A2700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C80BB1"/>
    <w:pPr>
      <w:spacing w:after="120"/>
    </w:pPr>
  </w:style>
  <w:style w:type="character" w:customStyle="1" w:styleId="BodyTextChar">
    <w:name w:val="Body Text Char"/>
    <w:basedOn w:val="DefaultParagraphFont"/>
    <w:link w:val="BodyText"/>
    <w:uiPriority w:val="99"/>
    <w:semiHidden/>
    <w:rsid w:val="00C80BB1"/>
  </w:style>
  <w:style w:type="character" w:customStyle="1" w:styleId="Heading1Char">
    <w:name w:val="Heading 1 Char"/>
    <w:basedOn w:val="DefaultParagraphFont"/>
    <w:link w:val="Heading1"/>
    <w:uiPriority w:val="9"/>
    <w:rsid w:val="00C80BB1"/>
    <w:rPr>
      <w:rFonts w:ascii="Times New Roman" w:eastAsia="Times New Roman" w:hAnsi="Times New Roman" w:cs="Times New Roman"/>
      <w:b/>
      <w:bCs/>
      <w:sz w:val="17"/>
      <w:szCs w:val="17"/>
      <w:lang w:val="en-US"/>
    </w:rPr>
  </w:style>
  <w:style w:type="table" w:customStyle="1" w:styleId="TableNormal1">
    <w:name w:val="Table Normal1"/>
    <w:uiPriority w:val="2"/>
    <w:semiHidden/>
    <w:unhideWhenUsed/>
    <w:qFormat/>
    <w:rsid w:val="00C80B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0BB1"/>
    <w:pPr>
      <w:widowControl w:val="0"/>
      <w:autoSpaceDE w:val="0"/>
      <w:autoSpaceDN w:val="0"/>
      <w:spacing w:before="11" w:after="0" w:line="240" w:lineRule="auto"/>
      <w:ind w:left="105"/>
    </w:pPr>
    <w:rPr>
      <w:rFonts w:ascii="Times New Roman" w:eastAsia="Times New Roman" w:hAnsi="Times New Roman" w:cs="Times New Roman"/>
      <w:lang w:val="en-US"/>
    </w:rPr>
  </w:style>
  <w:style w:type="paragraph" w:customStyle="1" w:styleId="BodyText1">
    <w:name w:val="Body Text1"/>
    <w:rsid w:val="00E95E5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E95E5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styleId="Hyperlink">
    <w:name w:val="Hyperlink"/>
    <w:rsid w:val="0022179D"/>
    <w:rPr>
      <w:color w:val="0000FF"/>
      <w:u w:val="single"/>
    </w:rPr>
  </w:style>
  <w:style w:type="paragraph" w:customStyle="1" w:styleId="Bullet1">
    <w:name w:val="Bullet 1"/>
    <w:basedOn w:val="Normal"/>
    <w:uiPriority w:val="99"/>
    <w:rsid w:val="0022179D"/>
    <w:pPr>
      <w:numPr>
        <w:numId w:val="9"/>
      </w:numPr>
      <w:adjustRightInd w:val="0"/>
      <w:spacing w:before="120" w:after="120" w:line="240" w:lineRule="auto"/>
      <w:jc w:val="both"/>
      <w:outlineLvl w:val="0"/>
    </w:pPr>
    <w:rPr>
      <w:rFonts w:ascii="Arial" w:eastAsia="Arial" w:hAnsi="Arial" w:cs="Arial"/>
      <w:sz w:val="20"/>
      <w:szCs w:val="20"/>
      <w:lang w:val="en-GB" w:eastAsia="en-GB"/>
    </w:rPr>
  </w:style>
  <w:style w:type="paragraph" w:customStyle="1" w:styleId="Bullet2">
    <w:name w:val="Bullet 2"/>
    <w:basedOn w:val="Normal"/>
    <w:uiPriority w:val="99"/>
    <w:rsid w:val="0022179D"/>
    <w:pPr>
      <w:numPr>
        <w:ilvl w:val="1"/>
        <w:numId w:val="9"/>
      </w:numPr>
      <w:adjustRightInd w:val="0"/>
      <w:spacing w:before="120" w:after="120" w:line="240" w:lineRule="auto"/>
      <w:jc w:val="both"/>
      <w:outlineLvl w:val="1"/>
    </w:pPr>
    <w:rPr>
      <w:rFonts w:ascii="Arial" w:eastAsia="Arial" w:hAnsi="Arial" w:cs="Arial"/>
      <w:sz w:val="20"/>
      <w:szCs w:val="20"/>
      <w:lang w:val="en-GB" w:eastAsia="en-GB"/>
    </w:rPr>
  </w:style>
  <w:style w:type="paragraph" w:customStyle="1" w:styleId="Bullet3">
    <w:name w:val="Bullet 3"/>
    <w:basedOn w:val="Normal"/>
    <w:uiPriority w:val="99"/>
    <w:rsid w:val="0022179D"/>
    <w:pPr>
      <w:numPr>
        <w:ilvl w:val="2"/>
        <w:numId w:val="9"/>
      </w:numPr>
      <w:adjustRightInd w:val="0"/>
      <w:spacing w:before="120" w:after="120" w:line="240" w:lineRule="auto"/>
      <w:jc w:val="both"/>
      <w:outlineLvl w:val="2"/>
    </w:pPr>
    <w:rPr>
      <w:rFonts w:ascii="Arial" w:eastAsia="Arial" w:hAnsi="Arial" w:cs="Arial"/>
      <w:sz w:val="20"/>
      <w:szCs w:val="20"/>
      <w:lang w:val="en-GB" w:eastAsia="en-GB"/>
    </w:rPr>
  </w:style>
  <w:style w:type="paragraph" w:customStyle="1" w:styleId="Bullet4">
    <w:name w:val="Bullet 4"/>
    <w:basedOn w:val="Normal"/>
    <w:uiPriority w:val="99"/>
    <w:rsid w:val="0022179D"/>
    <w:pPr>
      <w:numPr>
        <w:ilvl w:val="3"/>
        <w:numId w:val="9"/>
      </w:numPr>
      <w:adjustRightInd w:val="0"/>
      <w:spacing w:before="120" w:after="120" w:line="240" w:lineRule="auto"/>
      <w:jc w:val="both"/>
      <w:outlineLvl w:val="3"/>
    </w:pPr>
    <w:rPr>
      <w:rFonts w:ascii="Arial" w:eastAsia="Arial" w:hAnsi="Arial" w:cs="Arial"/>
      <w:sz w:val="20"/>
      <w:szCs w:val="20"/>
      <w:lang w:val="en-GB" w:eastAsia="en-GB"/>
    </w:rPr>
  </w:style>
  <w:style w:type="paragraph" w:customStyle="1" w:styleId="Bullet5">
    <w:name w:val="Bullet 5"/>
    <w:basedOn w:val="Normal"/>
    <w:uiPriority w:val="99"/>
    <w:rsid w:val="0022179D"/>
    <w:pPr>
      <w:numPr>
        <w:ilvl w:val="4"/>
        <w:numId w:val="9"/>
      </w:numPr>
      <w:adjustRightInd w:val="0"/>
      <w:spacing w:before="120" w:after="120" w:line="240" w:lineRule="auto"/>
      <w:jc w:val="both"/>
      <w:outlineLvl w:val="4"/>
    </w:pPr>
    <w:rPr>
      <w:rFonts w:ascii="Arial" w:eastAsia="Arial" w:hAnsi="Arial" w:cs="Arial"/>
      <w:sz w:val="20"/>
      <w:szCs w:val="20"/>
      <w:lang w:val="en-GB" w:eastAsia="en-GB"/>
    </w:rPr>
  </w:style>
  <w:style w:type="paragraph" w:customStyle="1" w:styleId="Bullet6">
    <w:name w:val="Bullet 6"/>
    <w:basedOn w:val="Normal"/>
    <w:uiPriority w:val="99"/>
    <w:rsid w:val="0022179D"/>
    <w:pPr>
      <w:numPr>
        <w:ilvl w:val="5"/>
        <w:numId w:val="9"/>
      </w:numPr>
      <w:adjustRightInd w:val="0"/>
      <w:spacing w:before="120" w:after="120" w:line="240" w:lineRule="auto"/>
      <w:jc w:val="both"/>
      <w:outlineLvl w:val="5"/>
    </w:pPr>
    <w:rPr>
      <w:rFonts w:ascii="Arial" w:eastAsia="Arial" w:hAnsi="Arial" w:cs="Arial"/>
      <w:sz w:val="20"/>
      <w:szCs w:val="20"/>
      <w:lang w:val="en-GB" w:eastAsia="en-GB"/>
    </w:rPr>
  </w:style>
  <w:style w:type="paragraph" w:customStyle="1" w:styleId="Normalny">
    <w:name w:val="Normalny"/>
    <w:rsid w:val="00BE1677"/>
    <w:pPr>
      <w:suppressAutoHyphens/>
      <w:autoSpaceDN w:val="0"/>
      <w:spacing w:line="247" w:lineRule="auto"/>
      <w:textAlignment w:val="baseline"/>
    </w:pPr>
    <w:rPr>
      <w:rFonts w:ascii="Calibri" w:eastAsia="Calibri" w:hAnsi="Calibri" w:cs="Arial"/>
      <w:lang w:val="pl-PL"/>
    </w:rPr>
  </w:style>
  <w:style w:type="character" w:customStyle="1" w:styleId="Domylnaczcionkaakapitu">
    <w:name w:val="Domyślna czcionka akapitu"/>
    <w:rsid w:val="00BE1677"/>
  </w:style>
  <w:style w:type="paragraph" w:customStyle="1" w:styleId="Style32">
    <w:name w:val="Style32"/>
    <w:basedOn w:val="Normal"/>
    <w:uiPriority w:val="99"/>
    <w:rsid w:val="00BF6FD0"/>
    <w:pPr>
      <w:widowControl w:val="0"/>
      <w:autoSpaceDE w:val="0"/>
      <w:autoSpaceDN w:val="0"/>
      <w:adjustRightInd w:val="0"/>
      <w:spacing w:after="0" w:line="274" w:lineRule="exact"/>
      <w:ind w:firstLine="847"/>
      <w:jc w:val="both"/>
    </w:pPr>
    <w:rPr>
      <w:rFonts w:ascii="Times New Roman" w:eastAsia="Times New Roman" w:hAnsi="Times New Roman" w:cs="Times New Roman"/>
      <w:sz w:val="24"/>
      <w:szCs w:val="24"/>
      <w:lang w:eastAsia="lt-LT"/>
    </w:rPr>
  </w:style>
  <w:style w:type="table" w:customStyle="1" w:styleId="TableGrid0">
    <w:name w:val="TableGrid"/>
    <w:rsid w:val="0016546E"/>
    <w:pPr>
      <w:spacing w:after="0" w:line="240" w:lineRule="auto"/>
    </w:pPr>
    <w:rPr>
      <w:rFonts w:eastAsiaTheme="minorEastAsia"/>
      <w:lang w:eastAsia="lt-LT"/>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05FE3"/>
    <w:pPr>
      <w:spacing w:after="33"/>
      <w:ind w:left="281"/>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905FE3"/>
    <w:rPr>
      <w:rFonts w:ascii="Times New Roman" w:eastAsia="Times New Roman" w:hAnsi="Times New Roman" w:cs="Times New Roman"/>
      <w:color w:val="000000"/>
      <w:sz w:val="18"/>
      <w:lang w:val="en-US"/>
    </w:rPr>
  </w:style>
  <w:style w:type="character" w:customStyle="1" w:styleId="footnotemark">
    <w:name w:val="footnote mark"/>
    <w:hidden/>
    <w:rsid w:val="00905FE3"/>
    <w:rPr>
      <w:rFonts w:ascii="Times New Roman" w:eastAsia="Times New Roman" w:hAnsi="Times New Roman" w:cs="Times New Roman"/>
      <w:color w:val="000000"/>
      <w:sz w:val="18"/>
      <w:vertAlign w:val="superscript"/>
    </w:rPr>
  </w:style>
  <w:style w:type="paragraph" w:customStyle="1" w:styleId="body">
    <w:name w:val="body"/>
    <w:basedOn w:val="Normal"/>
    <w:uiPriority w:val="99"/>
    <w:rsid w:val="002F510A"/>
    <w:pPr>
      <w:widowControl w:val="0"/>
      <w:autoSpaceDE w:val="0"/>
      <w:autoSpaceDN w:val="0"/>
      <w:adjustRightInd w:val="0"/>
      <w:spacing w:after="0" w:line="200" w:lineRule="atLeast"/>
      <w:jc w:val="both"/>
      <w:textAlignment w:val="center"/>
    </w:pPr>
    <w:rPr>
      <w:rFonts w:ascii="BookAntiqua" w:eastAsia="Times New Roman" w:hAnsi="BookAntiqua" w:cs="BookAntiqua"/>
      <w:color w:val="000000"/>
      <w:sz w:val="20"/>
      <w:szCs w:val="20"/>
      <w:lang w:val="en-US"/>
    </w:rPr>
  </w:style>
  <w:style w:type="character" w:customStyle="1" w:styleId="Heading3Char">
    <w:name w:val="Heading 3 Char"/>
    <w:basedOn w:val="DefaultParagraphFont"/>
    <w:link w:val="Heading3"/>
    <w:uiPriority w:val="9"/>
    <w:semiHidden/>
    <w:rsid w:val="007430D1"/>
    <w:rPr>
      <w:rFonts w:asciiTheme="majorHAnsi" w:eastAsiaTheme="majorEastAsia" w:hAnsiTheme="majorHAnsi" w:cstheme="majorBidi"/>
      <w:color w:val="1F3763" w:themeColor="accent1" w:themeShade="7F"/>
      <w:sz w:val="24"/>
      <w:szCs w:val="24"/>
    </w:rPr>
  </w:style>
  <w:style w:type="paragraph" w:styleId="NormalWeb">
    <w:name w:val="Normal (Web)"/>
    <w:basedOn w:val="Normal"/>
    <w:rsid w:val="007430D1"/>
    <w:pPr>
      <w:spacing w:before="280" w:after="119" w:line="240" w:lineRule="auto"/>
    </w:pPr>
    <w:rPr>
      <w:rFonts w:ascii="Times New Roman" w:eastAsia="SimSun" w:hAnsi="Times New Roman" w:cs="Times New Roman"/>
      <w:sz w:val="24"/>
      <w:szCs w:val="24"/>
      <w:lang w:val="pl-PL" w:eastAsia="zh-CN"/>
    </w:rPr>
  </w:style>
  <w:style w:type="paragraph" w:customStyle="1" w:styleId="Tre">
    <w:name w:val="Treść"/>
    <w:basedOn w:val="Normal"/>
    <w:rsid w:val="007430D1"/>
    <w:pPr>
      <w:numPr>
        <w:numId w:val="2"/>
      </w:numPr>
      <w:spacing w:after="0" w:line="240" w:lineRule="auto"/>
      <w:ind w:left="-681"/>
    </w:pPr>
    <w:rPr>
      <w:rFonts w:ascii="Times New Roman" w:eastAsia="SimSun" w:hAnsi="Times New Roman" w:cs="Times New Roman"/>
      <w:sz w:val="24"/>
      <w:szCs w:val="24"/>
      <w:lang w:val="pl-PL" w:eastAsia="zh-CN"/>
    </w:rPr>
  </w:style>
  <w:style w:type="character" w:styleId="UnresolvedMention">
    <w:name w:val="Unresolved Mention"/>
    <w:basedOn w:val="DefaultParagraphFont"/>
    <w:uiPriority w:val="99"/>
    <w:semiHidden/>
    <w:unhideWhenUsed/>
    <w:rsid w:val="006D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97804">
      <w:bodyDiv w:val="1"/>
      <w:marLeft w:val="0"/>
      <w:marRight w:val="0"/>
      <w:marTop w:val="0"/>
      <w:marBottom w:val="0"/>
      <w:divBdr>
        <w:top w:val="none" w:sz="0" w:space="0" w:color="auto"/>
        <w:left w:val="none" w:sz="0" w:space="0" w:color="auto"/>
        <w:bottom w:val="none" w:sz="0" w:space="0" w:color="auto"/>
        <w:right w:val="none" w:sz="0" w:space="0" w:color="auto"/>
      </w:divBdr>
    </w:div>
    <w:div w:id="1996717564">
      <w:bodyDiv w:val="1"/>
      <w:marLeft w:val="0"/>
      <w:marRight w:val="0"/>
      <w:marTop w:val="0"/>
      <w:marBottom w:val="0"/>
      <w:divBdr>
        <w:top w:val="none" w:sz="0" w:space="0" w:color="auto"/>
        <w:left w:val="none" w:sz="0" w:space="0" w:color="auto"/>
        <w:bottom w:val="none" w:sz="0" w:space="0" w:color="auto"/>
        <w:right w:val="none" w:sz="0" w:space="0" w:color="auto"/>
      </w:divBdr>
    </w:div>
    <w:div w:id="2022002718">
      <w:bodyDiv w:val="1"/>
      <w:marLeft w:val="0"/>
      <w:marRight w:val="0"/>
      <w:marTop w:val="0"/>
      <w:marBottom w:val="0"/>
      <w:divBdr>
        <w:top w:val="none" w:sz="0" w:space="0" w:color="auto"/>
        <w:left w:val="none" w:sz="0" w:space="0" w:color="auto"/>
        <w:bottom w:val="none" w:sz="0" w:space="0" w:color="auto"/>
        <w:right w:val="none" w:sz="0" w:space="0" w:color="auto"/>
      </w:divBdr>
    </w:div>
    <w:div w:id="20428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dentia.wroclaw@fineja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3DE9-CE17-468A-8A7B-15C7D4EA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Łęcka / Finėjas.PL</dc:creator>
  <cp:keywords/>
  <dc:description/>
  <cp:lastModifiedBy>Justyna Ginter / Finėjas.PL</cp:lastModifiedBy>
  <cp:revision>4</cp:revision>
  <cp:lastPrinted>2024-03-28T09:24:00Z</cp:lastPrinted>
  <dcterms:created xsi:type="dcterms:W3CDTF">2024-09-16T07:40:00Z</dcterms:created>
  <dcterms:modified xsi:type="dcterms:W3CDTF">2024-09-23T07:46:00Z</dcterms:modified>
</cp:coreProperties>
</file>